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16CFE" w14:textId="77777777" w:rsidR="00EC33E5" w:rsidRDefault="00EC33E5" w:rsidP="00B878D5">
      <w:pPr>
        <w:pStyle w:val="ASubhead"/>
        <w:rPr>
          <w:szCs w:val="22"/>
        </w:rPr>
      </w:pPr>
      <w:bookmarkStart w:id="0" w:name="_Hlk80608328"/>
    </w:p>
    <w:p w14:paraId="13EF3480" w14:textId="77777777" w:rsidR="00B878D5" w:rsidRDefault="00831BCC" w:rsidP="00B878D5">
      <w:pPr>
        <w:pStyle w:val="ASubhead"/>
        <w:rPr>
          <w:szCs w:val="22"/>
        </w:rPr>
      </w:pPr>
      <w:r>
        <w:rPr>
          <w:szCs w:val="22"/>
        </w:rPr>
        <w:t>OCTOBER</w:t>
      </w:r>
      <w:r w:rsidR="00B878D5">
        <w:rPr>
          <w:szCs w:val="22"/>
        </w:rPr>
        <w:t xml:space="preserve"> 202</w:t>
      </w:r>
      <w:r>
        <w:rPr>
          <w:szCs w:val="22"/>
        </w:rPr>
        <w:t>1</w:t>
      </w:r>
      <w:r w:rsidR="00B878D5">
        <w:rPr>
          <w:szCs w:val="22"/>
        </w:rPr>
        <w:t xml:space="preserve"> CLIENT</w:t>
      </w:r>
      <w:r w:rsidR="0015651E">
        <w:rPr>
          <w:szCs w:val="22"/>
        </w:rPr>
        <w:t xml:space="preserve"> UPDATE</w:t>
      </w:r>
    </w:p>
    <w:p w14:paraId="5ABDDF60" w14:textId="77777777" w:rsidR="00B878D5" w:rsidRPr="00E21B76" w:rsidRDefault="00B878D5" w:rsidP="00B878D5">
      <w:pPr>
        <w:pStyle w:val="ASubhead"/>
        <w:rPr>
          <w:rFonts w:ascii="Arial" w:hAnsi="Arial" w:cs="Arial"/>
          <w:sz w:val="18"/>
          <w:szCs w:val="22"/>
        </w:rPr>
      </w:pPr>
    </w:p>
    <w:p w14:paraId="412F4DA7" w14:textId="7A0DE870" w:rsidR="004B4435" w:rsidRDefault="004B4435" w:rsidP="004B4435">
      <w:pPr>
        <w:rPr>
          <w:sz w:val="22"/>
        </w:rPr>
      </w:pPr>
      <w:r>
        <w:t xml:space="preserve">We hope that you and your family are healthy and safe, </w:t>
      </w:r>
      <w:r w:rsidR="00184CD8">
        <w:t xml:space="preserve">given </w:t>
      </w:r>
      <w:r>
        <w:t xml:space="preserve">the continued challenges </w:t>
      </w:r>
      <w:r w:rsidR="00184CD8">
        <w:t>imposed</w:t>
      </w:r>
      <w:r>
        <w:t xml:space="preserve"> by the pandemic.  As we do every year, we are writing to advise you of the current state of the law as it </w:t>
      </w:r>
      <w:r w:rsidR="00184CD8">
        <w:t xml:space="preserve">relates to </w:t>
      </w:r>
      <w:r>
        <w:t>estate planning and to highlight important considerations for you and your family.</w:t>
      </w:r>
    </w:p>
    <w:p w14:paraId="4EC2C919" w14:textId="77777777" w:rsidR="008828B2" w:rsidRPr="00831BCC" w:rsidRDefault="008828B2" w:rsidP="00E21B76">
      <w:pPr>
        <w:pStyle w:val="ASubhead"/>
        <w:rPr>
          <w:rFonts w:ascii="Times New Roman" w:hAnsi="Times New Roman"/>
          <w:b w:val="0"/>
          <w:sz w:val="24"/>
          <w:highlight w:val="yellow"/>
        </w:rPr>
      </w:pPr>
    </w:p>
    <w:p w14:paraId="60FA0447" w14:textId="604563D0" w:rsidR="001B3B34" w:rsidRDefault="002915B9" w:rsidP="001B3B34">
      <w:r>
        <w:t xml:space="preserve">Although </w:t>
      </w:r>
      <w:r w:rsidR="001B3B34">
        <w:t xml:space="preserve">we have a new President since our last letter, we still </w:t>
      </w:r>
      <w:r w:rsidR="00184CD8">
        <w:t>lack</w:t>
      </w:r>
      <w:r w:rsidR="001B3B34">
        <w:t xml:space="preserve"> certainty regarding potential changes in the tax law.  As you </w:t>
      </w:r>
      <w:r w:rsidR="00485A9E">
        <w:t>may be</w:t>
      </w:r>
      <w:r w:rsidR="001B3B34">
        <w:t xml:space="preserve"> aware, there have been a number of different tax proposals, some from the White House and </w:t>
      </w:r>
      <w:r w:rsidR="00184CD8">
        <w:t xml:space="preserve">others </w:t>
      </w:r>
      <w:r w:rsidR="001B3B34">
        <w:t xml:space="preserve">from members of Congress.  This letter will summarize in general terms the various changes that have been suggested which would have the greatest effect on estate planning and estate and trust taxation.  Many of the proposals, if enacted, would have </w:t>
      </w:r>
      <w:r w:rsidR="002A6B40">
        <w:t xml:space="preserve">a </w:t>
      </w:r>
      <w:r w:rsidR="001B3B34">
        <w:t xml:space="preserve">significant impact on most of our clients and some would dramatically change or severely restrict traditional estate planning techniques.  </w:t>
      </w:r>
    </w:p>
    <w:p w14:paraId="7282FE98" w14:textId="77777777" w:rsidR="001B3B34" w:rsidRDefault="001B3B34" w:rsidP="001B3B34"/>
    <w:p w14:paraId="1ADFA71A" w14:textId="0616C475" w:rsidR="00184CD8" w:rsidRDefault="001B3B34" w:rsidP="001B3B34">
      <w:r>
        <w:t>As you review this letter</w:t>
      </w:r>
      <w:r w:rsidR="00184CD8">
        <w:t>,</w:t>
      </w:r>
      <w:r>
        <w:t xml:space="preserve"> please keep in mind that the two proposals which would most impact estate planning in the future are the potential reductions </w:t>
      </w:r>
      <w:r w:rsidR="00184CD8">
        <w:t>of</w:t>
      </w:r>
      <w:r>
        <w:t xml:space="preserve"> the estate, gift and GST tax exemptions and the potential elimination of grantor trusts of all kinds. </w:t>
      </w:r>
      <w:r w:rsidR="00184CD8">
        <w:t xml:space="preserve"> </w:t>
      </w:r>
    </w:p>
    <w:p w14:paraId="3A1F2A37" w14:textId="77777777" w:rsidR="00184CD8" w:rsidRDefault="00184CD8" w:rsidP="001B3B34"/>
    <w:p w14:paraId="266E0628" w14:textId="327B7573" w:rsidR="001B3B34" w:rsidRDefault="001B3B34" w:rsidP="001B3B34">
      <w:r>
        <w:t xml:space="preserve">Accordingly, two broad warnings should be </w:t>
      </w:r>
      <w:r w:rsidR="00184CD8">
        <w:t>considered</w:t>
      </w:r>
      <w:r>
        <w:t xml:space="preserve"> as you decide if you need to act immediately to change, implement or accelerate your estate planning:</w:t>
      </w:r>
    </w:p>
    <w:p w14:paraId="65EEE699" w14:textId="77777777" w:rsidR="001B3B34" w:rsidRDefault="001B3B34" w:rsidP="001B3B34"/>
    <w:p w14:paraId="4D764ED2" w14:textId="7FC4F9F6" w:rsidR="001B3B34" w:rsidRDefault="001B3B34" w:rsidP="001B3B34">
      <w:r>
        <w:t xml:space="preserve">If you have a grantor trust to which you are considering significant gifts in the future, you may want to make those gifts as soon as possible in case some of the tax proposals limiting future use of grantor trusts are enacted.  This would also include possible gifts to “pre-fund” or “endow” trusts which own life insurance </w:t>
      </w:r>
      <w:r w:rsidR="003D70B9">
        <w:t xml:space="preserve">to cover </w:t>
      </w:r>
      <w:r>
        <w:t xml:space="preserve">the premiums that will need to be made </w:t>
      </w:r>
      <w:r w:rsidR="003D70B9">
        <w:t xml:space="preserve">in the future </w:t>
      </w:r>
      <w:r>
        <w:t xml:space="preserve">to maintain those policies. </w:t>
      </w:r>
    </w:p>
    <w:p w14:paraId="4EBABD7B" w14:textId="77777777" w:rsidR="001B3B34" w:rsidRDefault="001B3B34" w:rsidP="001B3B34"/>
    <w:p w14:paraId="6D0406CD" w14:textId="208957E4" w:rsidR="001B3B34" w:rsidRDefault="001B3B34" w:rsidP="001B3B34">
      <w:r>
        <w:t xml:space="preserve">If you plan to make large gifts, to trusts or otherwise, to “lock in” your remaining estate, gift and GST exemptions before </w:t>
      </w:r>
      <w:r w:rsidR="00E14F98">
        <w:t xml:space="preserve">the exemptions </w:t>
      </w:r>
      <w:r>
        <w:t xml:space="preserve">are reduced </w:t>
      </w:r>
      <w:r w:rsidR="00E14F98">
        <w:t xml:space="preserve">as a result of </w:t>
      </w:r>
      <w:r>
        <w:t xml:space="preserve">the eventual phase-out in 2025 under the current </w:t>
      </w:r>
      <w:r w:rsidR="00922F09">
        <w:t>law</w:t>
      </w:r>
      <w:r>
        <w:t xml:space="preserve">, you may want to make those gifts as soon as possible, and before the end of 2021, in case the proposals </w:t>
      </w:r>
      <w:r w:rsidR="00281DCD">
        <w:t>reducing</w:t>
      </w:r>
      <w:r>
        <w:t xml:space="preserve"> those exemptions </w:t>
      </w:r>
      <w:r w:rsidR="00281DCD">
        <w:t>as of</w:t>
      </w:r>
      <w:r>
        <w:t xml:space="preserve"> January 1, 2022 are enacted.</w:t>
      </w:r>
    </w:p>
    <w:p w14:paraId="7E54962E" w14:textId="5CD7CC54" w:rsidR="001B3B34" w:rsidRDefault="001B3B34" w:rsidP="001B3B34">
      <w:r>
        <w:lastRenderedPageBreak/>
        <w:t>There are other proposals discussed in this letter, including potential changes to capital gains taxes, income taxes and retirement plans</w:t>
      </w:r>
      <w:r w:rsidR="00F40494">
        <w:t>,</w:t>
      </w:r>
      <w:r>
        <w:t xml:space="preserve"> which are </w:t>
      </w:r>
      <w:r w:rsidR="00F413A6">
        <w:t>important but</w:t>
      </w:r>
      <w:r>
        <w:t xml:space="preserve"> </w:t>
      </w:r>
      <w:r w:rsidR="00C810A3">
        <w:t>may be difficult to plan around at this point, particularly because their effective dates may have already passed.  Consequently, taking</w:t>
      </w:r>
      <w:r>
        <w:t xml:space="preserve"> action now would not assist in alleviating the impact </w:t>
      </w:r>
      <w:r w:rsidR="00F40494">
        <w:t>of those proposals</w:t>
      </w:r>
      <w:r>
        <w:t>.</w:t>
      </w:r>
    </w:p>
    <w:p w14:paraId="0E125C8C" w14:textId="77777777" w:rsidR="001B3B34" w:rsidRDefault="001B3B34" w:rsidP="001B3B34"/>
    <w:p w14:paraId="3CE42CDE" w14:textId="6112FBBA" w:rsidR="001B3B34" w:rsidRDefault="001B3B34" w:rsidP="001B3B34">
      <w:r>
        <w:t xml:space="preserve">As you read the balance of this letter, please </w:t>
      </w:r>
      <w:r w:rsidR="000D4184">
        <w:t>note</w:t>
      </w:r>
      <w:r>
        <w:t xml:space="preserve"> that many of the tax proposals being discussed in Washington have been raised, without becoming law, in prior years as well.  With all of the issues facing legislators in Washington this Fall, it is possible that consensus on major tax legislation </w:t>
      </w:r>
      <w:r w:rsidR="003D70B9">
        <w:t xml:space="preserve">will </w:t>
      </w:r>
      <w:r>
        <w:t>not be reached</w:t>
      </w:r>
      <w:r w:rsidR="00E36672">
        <w:t xml:space="preserve">.  Accordingly, a number of </w:t>
      </w:r>
      <w:r>
        <w:t xml:space="preserve">these proposals </w:t>
      </w:r>
      <w:r w:rsidR="00E36672">
        <w:t>may</w:t>
      </w:r>
      <w:r w:rsidR="003D70B9">
        <w:t xml:space="preserve"> </w:t>
      </w:r>
      <w:r>
        <w:t xml:space="preserve">again </w:t>
      </w:r>
      <w:r w:rsidR="003D70B9">
        <w:t xml:space="preserve">be </w:t>
      </w:r>
      <w:r>
        <w:t xml:space="preserve">put aside for future consideration.  However, some of the tax legislation has been </w:t>
      </w:r>
      <w:r w:rsidR="00E36672">
        <w:t>“</w:t>
      </w:r>
      <w:r>
        <w:t>fast-tracked</w:t>
      </w:r>
      <w:r w:rsidR="00E36672">
        <w:t>”</w:t>
      </w:r>
      <w:r>
        <w:t xml:space="preserve"> in Congress </w:t>
      </w:r>
      <w:r w:rsidR="002A6B40">
        <w:t xml:space="preserve">so </w:t>
      </w:r>
      <w:r>
        <w:t>past inaction</w:t>
      </w:r>
      <w:r w:rsidR="00E36672">
        <w:t xml:space="preserve"> m</w:t>
      </w:r>
      <w:r w:rsidR="002A6B40">
        <w:t>a</w:t>
      </w:r>
      <w:r w:rsidR="00E36672">
        <w:t xml:space="preserve">y not be </w:t>
      </w:r>
      <w:r>
        <w:t xml:space="preserve">an indication of whether these proposals might finally be </w:t>
      </w:r>
      <w:r w:rsidR="00E36672">
        <w:t xml:space="preserve">enacted </w:t>
      </w:r>
      <w:r>
        <w:t>and become law in the coming weeks.</w:t>
      </w:r>
    </w:p>
    <w:p w14:paraId="0327B7E5" w14:textId="77777777" w:rsidR="004B4435" w:rsidRDefault="004B4435" w:rsidP="004B4435"/>
    <w:p w14:paraId="25C66EBC" w14:textId="77777777" w:rsidR="00846AD8" w:rsidRDefault="00846AD8" w:rsidP="004B4435">
      <w:pPr>
        <w:rPr>
          <w:rFonts w:ascii="Univers 57 Condensed" w:hAnsi="Univers 57 Condensed" w:cs="Arial"/>
          <w:b/>
          <w:bCs/>
          <w:sz w:val="22"/>
          <w:szCs w:val="24"/>
        </w:rPr>
      </w:pPr>
      <w:r w:rsidRPr="007C5B15">
        <w:rPr>
          <w:rFonts w:ascii="Univers 57 Condensed" w:hAnsi="Univers 57 Condensed" w:cs="Arial"/>
          <w:b/>
          <w:bCs/>
          <w:sz w:val="22"/>
          <w:szCs w:val="24"/>
        </w:rPr>
        <w:t xml:space="preserve">CURRENT AND FUTURE </w:t>
      </w:r>
      <w:r w:rsidR="000A63A6">
        <w:rPr>
          <w:rFonts w:ascii="Univers 57 Condensed" w:hAnsi="Univers 57 Condensed" w:cs="Arial"/>
          <w:b/>
          <w:bCs/>
          <w:sz w:val="22"/>
          <w:szCs w:val="24"/>
        </w:rPr>
        <w:t xml:space="preserve">FEDERAL ESTATE, GIFT AND GST TAX RATES AND </w:t>
      </w:r>
      <w:r w:rsidRPr="007C5B15">
        <w:rPr>
          <w:rFonts w:ascii="Univers 57 Condensed" w:hAnsi="Univers 57 Condensed" w:cs="Arial"/>
          <w:b/>
          <w:bCs/>
          <w:sz w:val="22"/>
          <w:szCs w:val="24"/>
        </w:rPr>
        <w:t>EXEMPTIONS</w:t>
      </w:r>
    </w:p>
    <w:p w14:paraId="4892F206" w14:textId="77777777" w:rsidR="002C0201" w:rsidRDefault="002C0201" w:rsidP="004B4435">
      <w:pPr>
        <w:rPr>
          <w:rFonts w:ascii="Univers 57 Condensed" w:hAnsi="Univers 57 Condensed" w:cs="Arial"/>
          <w:b/>
          <w:bCs/>
          <w:sz w:val="22"/>
          <w:szCs w:val="24"/>
        </w:rPr>
      </w:pPr>
    </w:p>
    <w:p w14:paraId="485BA4D9" w14:textId="77777777" w:rsidR="00BB2A94" w:rsidRDefault="000A63A6" w:rsidP="004B4435">
      <w:pPr>
        <w:rPr>
          <w:rFonts w:ascii="Univers 57 Condensed" w:hAnsi="Univers 57 Condensed" w:cs="Arial"/>
          <w:b/>
          <w:bCs/>
          <w:sz w:val="22"/>
          <w:szCs w:val="24"/>
        </w:rPr>
      </w:pPr>
      <w:r>
        <w:rPr>
          <w:rFonts w:ascii="Univers 57 Condensed" w:hAnsi="Univers 57 Condensed" w:cs="Arial"/>
          <w:b/>
          <w:bCs/>
          <w:sz w:val="22"/>
          <w:szCs w:val="24"/>
        </w:rPr>
        <w:t>Year</w:t>
      </w:r>
      <w:r>
        <w:rPr>
          <w:rFonts w:ascii="Univers 57 Condensed" w:hAnsi="Univers 57 Condensed" w:cs="Arial"/>
          <w:b/>
          <w:bCs/>
          <w:sz w:val="22"/>
          <w:szCs w:val="24"/>
        </w:rPr>
        <w:tab/>
      </w:r>
      <w:r>
        <w:rPr>
          <w:rFonts w:ascii="Univers 57 Condensed" w:hAnsi="Univers 57 Condensed" w:cs="Arial"/>
          <w:b/>
          <w:bCs/>
          <w:sz w:val="22"/>
          <w:szCs w:val="24"/>
        </w:rPr>
        <w:tab/>
      </w:r>
      <w:r>
        <w:rPr>
          <w:rFonts w:ascii="Univers 57 Condensed" w:hAnsi="Univers 57 Condensed" w:cs="Arial"/>
          <w:b/>
          <w:bCs/>
          <w:sz w:val="22"/>
          <w:szCs w:val="24"/>
        </w:rPr>
        <w:tab/>
      </w:r>
      <w:r>
        <w:rPr>
          <w:rFonts w:ascii="Univers 57 Condensed" w:hAnsi="Univers 57 Condensed" w:cs="Arial"/>
          <w:b/>
          <w:bCs/>
          <w:sz w:val="22"/>
          <w:szCs w:val="24"/>
        </w:rPr>
        <w:tab/>
        <w:t>Exemption</w:t>
      </w:r>
      <w:r>
        <w:rPr>
          <w:rFonts w:ascii="Univers 57 Condensed" w:hAnsi="Univers 57 Condensed" w:cs="Arial"/>
          <w:b/>
          <w:bCs/>
          <w:sz w:val="22"/>
          <w:szCs w:val="24"/>
        </w:rPr>
        <w:tab/>
      </w:r>
      <w:r>
        <w:rPr>
          <w:rFonts w:ascii="Univers 57 Condensed" w:hAnsi="Univers 57 Condensed" w:cs="Arial"/>
          <w:b/>
          <w:bCs/>
          <w:sz w:val="22"/>
          <w:szCs w:val="24"/>
        </w:rPr>
        <w:tab/>
      </w:r>
      <w:r>
        <w:rPr>
          <w:rFonts w:ascii="Univers 57 Condensed" w:hAnsi="Univers 57 Condensed" w:cs="Arial"/>
          <w:b/>
          <w:bCs/>
          <w:sz w:val="22"/>
          <w:szCs w:val="24"/>
        </w:rPr>
        <w:tab/>
      </w:r>
      <w:r>
        <w:rPr>
          <w:rFonts w:ascii="Univers 57 Condensed" w:hAnsi="Univers 57 Condensed" w:cs="Arial"/>
          <w:b/>
          <w:bCs/>
          <w:sz w:val="22"/>
          <w:szCs w:val="24"/>
        </w:rPr>
        <w:tab/>
        <w:t>Rate</w:t>
      </w:r>
    </w:p>
    <w:p w14:paraId="7ECFFC69" w14:textId="77777777" w:rsidR="000A63A6" w:rsidRDefault="000A63A6" w:rsidP="004B4435">
      <w:pPr>
        <w:rPr>
          <w:rFonts w:ascii="Univers 57 Condensed" w:hAnsi="Univers 57 Condensed" w:cs="Arial"/>
          <w:bCs/>
          <w:sz w:val="22"/>
          <w:szCs w:val="24"/>
        </w:rPr>
      </w:pPr>
      <w:r>
        <w:rPr>
          <w:rFonts w:ascii="Univers 57 Condensed" w:hAnsi="Univers 57 Condensed" w:cs="Arial"/>
          <w:bCs/>
          <w:sz w:val="22"/>
          <w:szCs w:val="24"/>
        </w:rPr>
        <w:t>2021-2025</w:t>
      </w:r>
      <w:r>
        <w:rPr>
          <w:rFonts w:ascii="Univers 57 Condensed" w:hAnsi="Univers 57 Condensed" w:cs="Arial"/>
          <w:bCs/>
          <w:sz w:val="22"/>
          <w:szCs w:val="24"/>
        </w:rPr>
        <w:tab/>
      </w:r>
      <w:r>
        <w:rPr>
          <w:rFonts w:ascii="Univers 57 Condensed" w:hAnsi="Univers 57 Condensed" w:cs="Arial"/>
          <w:bCs/>
          <w:sz w:val="22"/>
          <w:szCs w:val="24"/>
        </w:rPr>
        <w:tab/>
      </w:r>
      <w:r>
        <w:rPr>
          <w:rFonts w:ascii="Univers 57 Condensed" w:hAnsi="Univers 57 Condensed" w:cs="Arial"/>
          <w:bCs/>
          <w:sz w:val="22"/>
          <w:szCs w:val="24"/>
        </w:rPr>
        <w:tab/>
        <w:t>$11,700,000*</w:t>
      </w:r>
      <w:r>
        <w:rPr>
          <w:rFonts w:ascii="Univers 57 Condensed" w:hAnsi="Univers 57 Condensed" w:cs="Arial"/>
          <w:bCs/>
          <w:sz w:val="22"/>
          <w:szCs w:val="24"/>
        </w:rPr>
        <w:tab/>
      </w:r>
      <w:r>
        <w:rPr>
          <w:rFonts w:ascii="Univers 57 Condensed" w:hAnsi="Univers 57 Condensed" w:cs="Arial"/>
          <w:bCs/>
          <w:sz w:val="22"/>
          <w:szCs w:val="24"/>
        </w:rPr>
        <w:tab/>
      </w:r>
      <w:r>
        <w:rPr>
          <w:rFonts w:ascii="Univers 57 Condensed" w:hAnsi="Univers 57 Condensed" w:cs="Arial"/>
          <w:bCs/>
          <w:sz w:val="22"/>
          <w:szCs w:val="24"/>
        </w:rPr>
        <w:tab/>
      </w:r>
      <w:r>
        <w:rPr>
          <w:rFonts w:ascii="Univers 57 Condensed" w:hAnsi="Univers 57 Condensed" w:cs="Arial"/>
          <w:bCs/>
          <w:sz w:val="22"/>
          <w:szCs w:val="24"/>
        </w:rPr>
        <w:tab/>
        <w:t>40%</w:t>
      </w:r>
    </w:p>
    <w:p w14:paraId="0C133159" w14:textId="0C4432BD" w:rsidR="000A63A6" w:rsidRDefault="000A63A6" w:rsidP="004B4435">
      <w:pPr>
        <w:rPr>
          <w:rFonts w:ascii="Univers 57 Condensed" w:hAnsi="Univers 57 Condensed" w:cs="Arial"/>
          <w:bCs/>
          <w:sz w:val="22"/>
          <w:szCs w:val="24"/>
        </w:rPr>
      </w:pPr>
      <w:r>
        <w:rPr>
          <w:rFonts w:ascii="Univers 57 Condensed" w:hAnsi="Univers 57 Condensed" w:cs="Arial"/>
          <w:bCs/>
          <w:sz w:val="22"/>
          <w:szCs w:val="24"/>
        </w:rPr>
        <w:t>2026</w:t>
      </w:r>
      <w:r>
        <w:rPr>
          <w:rFonts w:ascii="Univers 57 Condensed" w:hAnsi="Univers 57 Condensed" w:cs="Arial"/>
          <w:bCs/>
          <w:sz w:val="22"/>
          <w:szCs w:val="24"/>
        </w:rPr>
        <w:tab/>
      </w:r>
      <w:r>
        <w:rPr>
          <w:rFonts w:ascii="Univers 57 Condensed" w:hAnsi="Univers 57 Condensed" w:cs="Arial"/>
          <w:bCs/>
          <w:sz w:val="22"/>
          <w:szCs w:val="24"/>
        </w:rPr>
        <w:tab/>
      </w:r>
      <w:r>
        <w:rPr>
          <w:rFonts w:ascii="Univers 57 Condensed" w:hAnsi="Univers 57 Condensed" w:cs="Arial"/>
          <w:bCs/>
          <w:sz w:val="22"/>
          <w:szCs w:val="24"/>
        </w:rPr>
        <w:tab/>
      </w:r>
      <w:r>
        <w:rPr>
          <w:rFonts w:ascii="Univers 57 Condensed" w:hAnsi="Univers 57 Condensed" w:cs="Arial"/>
          <w:bCs/>
          <w:sz w:val="22"/>
          <w:szCs w:val="24"/>
        </w:rPr>
        <w:tab/>
        <w:t>$5,</w:t>
      </w:r>
      <w:r w:rsidR="00AA479E">
        <w:rPr>
          <w:rFonts w:ascii="Univers 57 Condensed" w:hAnsi="Univers 57 Condensed" w:cs="Arial"/>
          <w:bCs/>
          <w:sz w:val="22"/>
          <w:szCs w:val="24"/>
        </w:rPr>
        <w:t>93</w:t>
      </w:r>
      <w:r>
        <w:rPr>
          <w:rFonts w:ascii="Univers 57 Condensed" w:hAnsi="Univers 57 Condensed" w:cs="Arial"/>
          <w:bCs/>
          <w:sz w:val="22"/>
          <w:szCs w:val="24"/>
        </w:rPr>
        <w:t>0,000*</w:t>
      </w:r>
      <w:r>
        <w:rPr>
          <w:rFonts w:ascii="Univers 57 Condensed" w:hAnsi="Univers 57 Condensed" w:cs="Arial"/>
          <w:bCs/>
          <w:sz w:val="22"/>
          <w:szCs w:val="24"/>
        </w:rPr>
        <w:tab/>
      </w:r>
      <w:r>
        <w:rPr>
          <w:rFonts w:ascii="Univers 57 Condensed" w:hAnsi="Univers 57 Condensed" w:cs="Arial"/>
          <w:bCs/>
          <w:sz w:val="22"/>
          <w:szCs w:val="24"/>
        </w:rPr>
        <w:tab/>
      </w:r>
      <w:r>
        <w:rPr>
          <w:rFonts w:ascii="Univers 57 Condensed" w:hAnsi="Univers 57 Condensed" w:cs="Arial"/>
          <w:bCs/>
          <w:sz w:val="22"/>
          <w:szCs w:val="24"/>
        </w:rPr>
        <w:tab/>
      </w:r>
      <w:r>
        <w:rPr>
          <w:rFonts w:ascii="Univers 57 Condensed" w:hAnsi="Univers 57 Condensed" w:cs="Arial"/>
          <w:bCs/>
          <w:sz w:val="22"/>
          <w:szCs w:val="24"/>
        </w:rPr>
        <w:tab/>
        <w:t>40%</w:t>
      </w:r>
    </w:p>
    <w:p w14:paraId="5758D7B5" w14:textId="77777777" w:rsidR="000A63A6" w:rsidRDefault="000A63A6" w:rsidP="004B4435">
      <w:pPr>
        <w:rPr>
          <w:rFonts w:ascii="Univers 57 Condensed" w:hAnsi="Univers 57 Condensed" w:cs="Arial"/>
          <w:bCs/>
          <w:sz w:val="22"/>
          <w:szCs w:val="24"/>
        </w:rPr>
      </w:pPr>
    </w:p>
    <w:p w14:paraId="06581353" w14:textId="77777777" w:rsidR="000A63A6" w:rsidRPr="000A63A6" w:rsidRDefault="000A63A6" w:rsidP="004B4435">
      <w:pPr>
        <w:rPr>
          <w:rFonts w:ascii="Univers 57 Condensed" w:hAnsi="Univers 57 Condensed" w:cs="Arial"/>
          <w:bCs/>
          <w:sz w:val="22"/>
          <w:szCs w:val="24"/>
        </w:rPr>
      </w:pPr>
      <w:r>
        <w:rPr>
          <w:rFonts w:ascii="Univers 57 Condensed" w:hAnsi="Univers 57 Condensed" w:cs="Arial"/>
          <w:bCs/>
          <w:sz w:val="22"/>
          <w:szCs w:val="24"/>
        </w:rPr>
        <w:t>*as indexed for inflation</w:t>
      </w:r>
    </w:p>
    <w:p w14:paraId="7BE9FF16" w14:textId="77777777" w:rsidR="00846AD8" w:rsidRDefault="00846AD8" w:rsidP="004B4435"/>
    <w:p w14:paraId="5AEBE813" w14:textId="77777777" w:rsidR="004B4435" w:rsidRDefault="00846AD8" w:rsidP="004B4435">
      <w:pPr>
        <w:rPr>
          <w:rFonts w:ascii="Univers 57 Condensed" w:hAnsi="Univers 57 Condensed" w:cs="Arial"/>
          <w:b/>
          <w:bCs/>
          <w:sz w:val="22"/>
          <w:szCs w:val="24"/>
        </w:rPr>
      </w:pPr>
      <w:r w:rsidRPr="00846AD8">
        <w:rPr>
          <w:rFonts w:ascii="Univers 57 Condensed" w:hAnsi="Univers 57 Condensed" w:cs="Arial"/>
          <w:b/>
          <w:bCs/>
          <w:sz w:val="22"/>
          <w:szCs w:val="24"/>
        </w:rPr>
        <w:t>PROPOS</w:t>
      </w:r>
      <w:r w:rsidR="00D1208E">
        <w:rPr>
          <w:rFonts w:ascii="Univers 57 Condensed" w:hAnsi="Univers 57 Condensed" w:cs="Arial"/>
          <w:b/>
          <w:bCs/>
          <w:sz w:val="22"/>
          <w:szCs w:val="24"/>
        </w:rPr>
        <w:t xml:space="preserve">ED LEGISLATIVE CHANGES </w:t>
      </w:r>
    </w:p>
    <w:p w14:paraId="27330F20" w14:textId="77777777" w:rsidR="00D1208E" w:rsidRDefault="00D1208E" w:rsidP="004B4435">
      <w:pPr>
        <w:rPr>
          <w:rFonts w:ascii="Univers 57 Condensed" w:hAnsi="Univers 57 Condensed" w:cs="Arial"/>
          <w:b/>
          <w:bCs/>
          <w:sz w:val="22"/>
          <w:szCs w:val="24"/>
        </w:rPr>
      </w:pPr>
    </w:p>
    <w:p w14:paraId="6CD7F984" w14:textId="2F5B3AA1" w:rsidR="00742207" w:rsidRPr="00742207" w:rsidRDefault="00742207" w:rsidP="00742207">
      <w:pPr>
        <w:pStyle w:val="PlainText"/>
        <w:rPr>
          <w:rFonts w:ascii="Times New Roman" w:hAnsi="Times New Roman" w:cs="Times New Roman"/>
          <w:sz w:val="24"/>
          <w:szCs w:val="24"/>
        </w:rPr>
      </w:pPr>
      <w:r w:rsidRPr="00742207">
        <w:rPr>
          <w:rFonts w:ascii="Times New Roman" w:hAnsi="Times New Roman" w:cs="Times New Roman"/>
          <w:sz w:val="24"/>
          <w:szCs w:val="24"/>
        </w:rPr>
        <w:t xml:space="preserve">The major tax proposals that have been introduced this year include </w:t>
      </w:r>
      <w:r w:rsidR="0040698B" w:rsidRPr="00742207">
        <w:rPr>
          <w:rFonts w:ascii="Times New Roman" w:hAnsi="Times New Roman" w:cs="Times New Roman"/>
          <w:sz w:val="24"/>
          <w:szCs w:val="24"/>
        </w:rPr>
        <w:t>Senator Bernie Sanders</w:t>
      </w:r>
      <w:r w:rsidR="0040698B">
        <w:rPr>
          <w:rFonts w:ascii="Times New Roman" w:hAnsi="Times New Roman" w:cs="Times New Roman"/>
          <w:sz w:val="24"/>
          <w:szCs w:val="24"/>
        </w:rPr>
        <w:t>’</w:t>
      </w:r>
      <w:r w:rsidR="00AA479E">
        <w:rPr>
          <w:rFonts w:ascii="Times New Roman" w:hAnsi="Times New Roman" w:cs="Times New Roman"/>
          <w:sz w:val="24"/>
          <w:szCs w:val="24"/>
        </w:rPr>
        <w:t>s</w:t>
      </w:r>
      <w:r w:rsidRPr="00742207">
        <w:rPr>
          <w:rFonts w:ascii="Times New Roman" w:hAnsi="Times New Roman" w:cs="Times New Roman"/>
          <w:sz w:val="24"/>
          <w:szCs w:val="24"/>
        </w:rPr>
        <w:t xml:space="preserve"> “For the 99.5 Percent Act” </w:t>
      </w:r>
      <w:r w:rsidR="0040698B" w:rsidRPr="00742207">
        <w:rPr>
          <w:rFonts w:ascii="Times New Roman" w:hAnsi="Times New Roman" w:cs="Times New Roman"/>
          <w:sz w:val="24"/>
          <w:szCs w:val="24"/>
        </w:rPr>
        <w:t>(</w:t>
      </w:r>
      <w:r w:rsidR="00F00941">
        <w:rPr>
          <w:rFonts w:ascii="Times New Roman" w:hAnsi="Times New Roman" w:cs="Times New Roman"/>
          <w:sz w:val="24"/>
          <w:szCs w:val="24"/>
        </w:rPr>
        <w:t xml:space="preserve"> </w:t>
      </w:r>
      <w:r w:rsidR="0040698B" w:rsidRPr="00742207">
        <w:rPr>
          <w:rFonts w:ascii="Times New Roman" w:hAnsi="Times New Roman" w:cs="Times New Roman"/>
          <w:sz w:val="24"/>
          <w:szCs w:val="24"/>
        </w:rPr>
        <w:t>“Sanders Proposal”)</w:t>
      </w:r>
      <w:r w:rsidR="0040698B">
        <w:rPr>
          <w:rFonts w:ascii="Times New Roman" w:hAnsi="Times New Roman" w:cs="Times New Roman"/>
          <w:sz w:val="24"/>
          <w:szCs w:val="24"/>
        </w:rPr>
        <w:t xml:space="preserve"> </w:t>
      </w:r>
      <w:r w:rsidRPr="00742207">
        <w:rPr>
          <w:rFonts w:ascii="Times New Roman" w:hAnsi="Times New Roman" w:cs="Times New Roman"/>
          <w:sz w:val="24"/>
          <w:szCs w:val="24"/>
        </w:rPr>
        <w:t xml:space="preserve">introduced on March 25, 2021, the Sensible Taxation and Equity Promotion or “STEP” Act </w:t>
      </w:r>
      <w:r w:rsidR="0065404B">
        <w:rPr>
          <w:rFonts w:ascii="Times New Roman" w:hAnsi="Times New Roman" w:cs="Times New Roman"/>
          <w:sz w:val="24"/>
          <w:szCs w:val="24"/>
        </w:rPr>
        <w:t xml:space="preserve">introduced </w:t>
      </w:r>
      <w:r w:rsidRPr="00742207">
        <w:rPr>
          <w:rFonts w:ascii="Times New Roman" w:hAnsi="Times New Roman" w:cs="Times New Roman"/>
          <w:sz w:val="24"/>
          <w:szCs w:val="24"/>
        </w:rPr>
        <w:t>on March 29, 2021</w:t>
      </w:r>
      <w:r w:rsidR="0065404B">
        <w:rPr>
          <w:rFonts w:ascii="Times New Roman" w:hAnsi="Times New Roman" w:cs="Times New Roman"/>
          <w:sz w:val="24"/>
          <w:szCs w:val="24"/>
        </w:rPr>
        <w:t>,</w:t>
      </w:r>
      <w:r w:rsidRPr="00742207">
        <w:rPr>
          <w:rFonts w:ascii="Times New Roman" w:hAnsi="Times New Roman" w:cs="Times New Roman"/>
          <w:sz w:val="24"/>
          <w:szCs w:val="24"/>
        </w:rPr>
        <w:t xml:space="preserve"> the Biden Administration’s Green Book</w:t>
      </w:r>
      <w:r w:rsidR="0065404B">
        <w:rPr>
          <w:rFonts w:ascii="Times New Roman" w:hAnsi="Times New Roman" w:cs="Times New Roman"/>
          <w:sz w:val="24"/>
          <w:szCs w:val="24"/>
        </w:rPr>
        <w:t>,</w:t>
      </w:r>
      <w:r w:rsidRPr="00742207">
        <w:rPr>
          <w:rFonts w:ascii="Times New Roman" w:hAnsi="Times New Roman" w:cs="Times New Roman"/>
          <w:sz w:val="24"/>
          <w:szCs w:val="24"/>
        </w:rPr>
        <w:t xml:space="preserve"> released </w:t>
      </w:r>
      <w:r w:rsidR="0040698B">
        <w:rPr>
          <w:rFonts w:ascii="Times New Roman" w:hAnsi="Times New Roman" w:cs="Times New Roman"/>
          <w:sz w:val="24"/>
          <w:szCs w:val="24"/>
        </w:rPr>
        <w:t xml:space="preserve">on </w:t>
      </w:r>
      <w:r w:rsidRPr="00742207">
        <w:rPr>
          <w:rFonts w:ascii="Times New Roman" w:hAnsi="Times New Roman" w:cs="Times New Roman"/>
          <w:sz w:val="24"/>
          <w:szCs w:val="24"/>
        </w:rPr>
        <w:t>May 28, 2021, which is an explanation of the tax proposals in the Biden Administration’s Budget for 2022 (“Biden Proposal”)</w:t>
      </w:r>
      <w:r w:rsidR="00A97709">
        <w:rPr>
          <w:rFonts w:ascii="Times New Roman" w:hAnsi="Times New Roman" w:cs="Times New Roman"/>
          <w:sz w:val="24"/>
          <w:szCs w:val="24"/>
        </w:rPr>
        <w:t xml:space="preserve"> and, perhaps most importantly, </w:t>
      </w:r>
      <w:r w:rsidR="000516DD">
        <w:rPr>
          <w:rFonts w:ascii="Times New Roman" w:hAnsi="Times New Roman" w:cs="Times New Roman"/>
          <w:sz w:val="24"/>
          <w:szCs w:val="24"/>
        </w:rPr>
        <w:t xml:space="preserve">the </w:t>
      </w:r>
      <w:r w:rsidR="002A6B40">
        <w:rPr>
          <w:rFonts w:ascii="Times New Roman" w:hAnsi="Times New Roman" w:cs="Times New Roman"/>
          <w:sz w:val="24"/>
          <w:szCs w:val="24"/>
        </w:rPr>
        <w:t>legislation</w:t>
      </w:r>
      <w:r w:rsidR="000516DD">
        <w:rPr>
          <w:rFonts w:ascii="Times New Roman" w:hAnsi="Times New Roman" w:cs="Times New Roman"/>
          <w:sz w:val="24"/>
          <w:szCs w:val="24"/>
        </w:rPr>
        <w:t xml:space="preserve"> proposed by the House Ways and Means Committee for possible inclusion in the </w:t>
      </w:r>
      <w:r w:rsidR="00C578F1">
        <w:rPr>
          <w:rFonts w:ascii="Times New Roman" w:hAnsi="Times New Roman" w:cs="Times New Roman"/>
          <w:sz w:val="24"/>
          <w:szCs w:val="24"/>
        </w:rPr>
        <w:t xml:space="preserve">Build America Back Better Act </w:t>
      </w:r>
      <w:r w:rsidR="00967DD6">
        <w:rPr>
          <w:rFonts w:ascii="Times New Roman" w:hAnsi="Times New Roman" w:cs="Times New Roman"/>
          <w:sz w:val="24"/>
          <w:szCs w:val="24"/>
        </w:rPr>
        <w:t>(“House Proposal”).  R</w:t>
      </w:r>
      <w:r w:rsidR="00C578F1">
        <w:rPr>
          <w:rFonts w:ascii="Times New Roman" w:hAnsi="Times New Roman" w:cs="Times New Roman"/>
          <w:sz w:val="24"/>
          <w:szCs w:val="24"/>
        </w:rPr>
        <w:t>eleased to the public on September 13,</w:t>
      </w:r>
      <w:r w:rsidR="00967DD6">
        <w:rPr>
          <w:rFonts w:ascii="Times New Roman" w:hAnsi="Times New Roman" w:cs="Times New Roman"/>
          <w:sz w:val="24"/>
          <w:szCs w:val="24"/>
        </w:rPr>
        <w:t xml:space="preserve"> </w:t>
      </w:r>
      <w:r w:rsidR="0040698B">
        <w:rPr>
          <w:rFonts w:ascii="Times New Roman" w:hAnsi="Times New Roman" w:cs="Times New Roman"/>
          <w:sz w:val="24"/>
          <w:szCs w:val="24"/>
        </w:rPr>
        <w:t xml:space="preserve">2021, </w:t>
      </w:r>
      <w:r w:rsidR="00967DD6">
        <w:rPr>
          <w:rFonts w:ascii="Times New Roman" w:hAnsi="Times New Roman" w:cs="Times New Roman"/>
          <w:sz w:val="24"/>
          <w:szCs w:val="24"/>
        </w:rPr>
        <w:t>the House Proposal</w:t>
      </w:r>
      <w:r w:rsidR="00597A25">
        <w:rPr>
          <w:rFonts w:ascii="Times New Roman" w:hAnsi="Times New Roman" w:cs="Times New Roman"/>
          <w:sz w:val="24"/>
          <w:szCs w:val="24"/>
        </w:rPr>
        <w:t xml:space="preserve"> </w:t>
      </w:r>
      <w:r w:rsidR="00967DD6">
        <w:rPr>
          <w:rFonts w:ascii="Times New Roman" w:hAnsi="Times New Roman" w:cs="Times New Roman"/>
          <w:sz w:val="24"/>
          <w:szCs w:val="24"/>
        </w:rPr>
        <w:t>is</w:t>
      </w:r>
      <w:r w:rsidR="00597A25">
        <w:rPr>
          <w:rFonts w:ascii="Times New Roman" w:hAnsi="Times New Roman" w:cs="Times New Roman"/>
          <w:sz w:val="24"/>
          <w:szCs w:val="24"/>
        </w:rPr>
        <w:t xml:space="preserve"> more sweeping in nature than the </w:t>
      </w:r>
      <w:r w:rsidR="00BC295D">
        <w:rPr>
          <w:rFonts w:ascii="Times New Roman" w:hAnsi="Times New Roman" w:cs="Times New Roman"/>
          <w:sz w:val="24"/>
          <w:szCs w:val="24"/>
        </w:rPr>
        <w:t>other</w:t>
      </w:r>
      <w:r w:rsidR="00597A25">
        <w:rPr>
          <w:rFonts w:ascii="Times New Roman" w:hAnsi="Times New Roman" w:cs="Times New Roman"/>
          <w:sz w:val="24"/>
          <w:szCs w:val="24"/>
        </w:rPr>
        <w:t xml:space="preserve"> proposals</w:t>
      </w:r>
      <w:r w:rsidR="00BC295D">
        <w:rPr>
          <w:rFonts w:ascii="Times New Roman" w:hAnsi="Times New Roman" w:cs="Times New Roman"/>
          <w:sz w:val="24"/>
          <w:szCs w:val="24"/>
        </w:rPr>
        <w:t xml:space="preserve"> and </w:t>
      </w:r>
      <w:r w:rsidR="00967DD6">
        <w:rPr>
          <w:rFonts w:ascii="Times New Roman" w:hAnsi="Times New Roman" w:cs="Times New Roman"/>
          <w:sz w:val="24"/>
          <w:szCs w:val="24"/>
        </w:rPr>
        <w:t>is</w:t>
      </w:r>
      <w:r w:rsidR="00BC295D">
        <w:rPr>
          <w:rFonts w:ascii="Times New Roman" w:hAnsi="Times New Roman" w:cs="Times New Roman"/>
          <w:sz w:val="24"/>
          <w:szCs w:val="24"/>
        </w:rPr>
        <w:t xml:space="preserve"> currently </w:t>
      </w:r>
      <w:r w:rsidR="00113695">
        <w:rPr>
          <w:rFonts w:ascii="Times New Roman" w:hAnsi="Times New Roman" w:cs="Times New Roman"/>
          <w:sz w:val="24"/>
          <w:szCs w:val="24"/>
        </w:rPr>
        <w:t>slated to move through</w:t>
      </w:r>
      <w:r w:rsidR="00BC295D">
        <w:rPr>
          <w:rFonts w:ascii="Times New Roman" w:hAnsi="Times New Roman" w:cs="Times New Roman"/>
          <w:sz w:val="24"/>
          <w:szCs w:val="24"/>
        </w:rPr>
        <w:t xml:space="preserve"> the legislative process</w:t>
      </w:r>
      <w:r w:rsidR="00113695">
        <w:rPr>
          <w:rFonts w:ascii="Times New Roman" w:hAnsi="Times New Roman" w:cs="Times New Roman"/>
          <w:sz w:val="24"/>
          <w:szCs w:val="24"/>
        </w:rPr>
        <w:t xml:space="preserve"> quickly if </w:t>
      </w:r>
      <w:r w:rsidR="00F00941">
        <w:rPr>
          <w:rFonts w:ascii="Times New Roman" w:hAnsi="Times New Roman" w:cs="Times New Roman"/>
          <w:sz w:val="24"/>
          <w:szCs w:val="24"/>
        </w:rPr>
        <w:t xml:space="preserve">it garners </w:t>
      </w:r>
      <w:r w:rsidR="00113695">
        <w:rPr>
          <w:rFonts w:ascii="Times New Roman" w:hAnsi="Times New Roman" w:cs="Times New Roman"/>
          <w:sz w:val="24"/>
          <w:szCs w:val="24"/>
        </w:rPr>
        <w:t>enough votes</w:t>
      </w:r>
      <w:r w:rsidRPr="00742207">
        <w:rPr>
          <w:rFonts w:ascii="Times New Roman" w:hAnsi="Times New Roman" w:cs="Times New Roman"/>
          <w:sz w:val="24"/>
          <w:szCs w:val="24"/>
        </w:rPr>
        <w:t xml:space="preserve">.  </w:t>
      </w:r>
      <w:r>
        <w:rPr>
          <w:rFonts w:ascii="Times New Roman" w:hAnsi="Times New Roman" w:cs="Times New Roman"/>
          <w:sz w:val="24"/>
          <w:szCs w:val="24"/>
        </w:rPr>
        <w:t>Because we do not yet know which</w:t>
      </w:r>
      <w:r w:rsidR="00F40494">
        <w:rPr>
          <w:rFonts w:ascii="Times New Roman" w:hAnsi="Times New Roman" w:cs="Times New Roman"/>
          <w:sz w:val="24"/>
          <w:szCs w:val="24"/>
        </w:rPr>
        <w:t>, if any,</w:t>
      </w:r>
      <w:r>
        <w:rPr>
          <w:rFonts w:ascii="Times New Roman" w:hAnsi="Times New Roman" w:cs="Times New Roman"/>
          <w:sz w:val="24"/>
          <w:szCs w:val="24"/>
        </w:rPr>
        <w:t xml:space="preserve"> of the proposals will become law, we will highlight the possibilities under the proposals </w:t>
      </w:r>
      <w:r w:rsidR="005E2CA3">
        <w:rPr>
          <w:rFonts w:ascii="Times New Roman" w:hAnsi="Times New Roman" w:cs="Times New Roman"/>
          <w:sz w:val="24"/>
          <w:szCs w:val="24"/>
        </w:rPr>
        <w:t>most likely to affect you with regard to trusts and estates planning</w:t>
      </w:r>
      <w:r w:rsidR="005558CF">
        <w:rPr>
          <w:rFonts w:ascii="Times New Roman" w:hAnsi="Times New Roman" w:cs="Times New Roman"/>
          <w:sz w:val="24"/>
          <w:szCs w:val="24"/>
        </w:rPr>
        <w:t xml:space="preserve"> if enacted</w:t>
      </w:r>
      <w:r>
        <w:rPr>
          <w:rFonts w:ascii="Times New Roman" w:hAnsi="Times New Roman" w:cs="Times New Roman"/>
          <w:sz w:val="24"/>
          <w:szCs w:val="24"/>
        </w:rPr>
        <w:t>.</w:t>
      </w:r>
    </w:p>
    <w:p w14:paraId="348C3451" w14:textId="77777777" w:rsidR="00742207" w:rsidRPr="00742207" w:rsidRDefault="00742207" w:rsidP="00742207">
      <w:pPr>
        <w:pStyle w:val="PlainText"/>
        <w:rPr>
          <w:rFonts w:ascii="Times New Roman" w:hAnsi="Times New Roman" w:cs="Times New Roman"/>
          <w:sz w:val="24"/>
          <w:szCs w:val="24"/>
        </w:rPr>
      </w:pPr>
    </w:p>
    <w:p w14:paraId="0A83B4C7" w14:textId="0922757C" w:rsidR="004D4722" w:rsidRDefault="00742207" w:rsidP="004D4722">
      <w:pPr>
        <w:pStyle w:val="PlainText"/>
        <w:rPr>
          <w:rFonts w:ascii="Times New Roman" w:hAnsi="Times New Roman" w:cs="Times New Roman"/>
          <w:sz w:val="24"/>
          <w:szCs w:val="24"/>
        </w:rPr>
      </w:pPr>
      <w:r w:rsidRPr="00742207">
        <w:rPr>
          <w:rFonts w:ascii="Times New Roman" w:hAnsi="Times New Roman" w:cs="Times New Roman"/>
          <w:b/>
          <w:sz w:val="24"/>
          <w:szCs w:val="24"/>
        </w:rPr>
        <w:t>Federal Estate and Gift Tax Exemptions</w:t>
      </w:r>
      <w:r w:rsidR="00530B30">
        <w:rPr>
          <w:rFonts w:ascii="Times New Roman" w:hAnsi="Times New Roman" w:cs="Times New Roman"/>
          <w:b/>
          <w:sz w:val="24"/>
          <w:szCs w:val="24"/>
        </w:rPr>
        <w:t xml:space="preserve"> and Rates</w:t>
      </w:r>
      <w:r w:rsidRPr="00742207">
        <w:rPr>
          <w:rFonts w:ascii="Times New Roman" w:hAnsi="Times New Roman" w:cs="Times New Roman"/>
          <w:b/>
          <w:sz w:val="24"/>
          <w:szCs w:val="24"/>
        </w:rPr>
        <w:t>:</w:t>
      </w:r>
      <w:r w:rsidRPr="00742207">
        <w:rPr>
          <w:rFonts w:ascii="Times New Roman" w:hAnsi="Times New Roman" w:cs="Times New Roman"/>
          <w:sz w:val="24"/>
          <w:szCs w:val="24"/>
        </w:rPr>
        <w:t xml:space="preserve">  </w:t>
      </w:r>
      <w:r w:rsidR="00ED0BB6">
        <w:rPr>
          <w:rFonts w:ascii="Times New Roman" w:hAnsi="Times New Roman" w:cs="Times New Roman"/>
          <w:sz w:val="24"/>
          <w:szCs w:val="24"/>
        </w:rPr>
        <w:t>T</w:t>
      </w:r>
      <w:r w:rsidR="00113695" w:rsidRPr="00742207">
        <w:rPr>
          <w:rFonts w:ascii="Times New Roman" w:hAnsi="Times New Roman" w:cs="Times New Roman"/>
          <w:sz w:val="24"/>
          <w:szCs w:val="24"/>
        </w:rPr>
        <w:t xml:space="preserve">he </w:t>
      </w:r>
      <w:r w:rsidRPr="00742207">
        <w:rPr>
          <w:rFonts w:ascii="Times New Roman" w:hAnsi="Times New Roman" w:cs="Times New Roman"/>
          <w:sz w:val="24"/>
          <w:szCs w:val="24"/>
        </w:rPr>
        <w:t xml:space="preserve">Sanders Proposal </w:t>
      </w:r>
      <w:r w:rsidR="00ED0BB6" w:rsidRPr="00742207">
        <w:rPr>
          <w:rFonts w:ascii="Times New Roman" w:hAnsi="Times New Roman" w:cs="Times New Roman"/>
          <w:sz w:val="24"/>
          <w:szCs w:val="24"/>
        </w:rPr>
        <w:t>reduc</w:t>
      </w:r>
      <w:r w:rsidR="00ED0BB6">
        <w:rPr>
          <w:rFonts w:ascii="Times New Roman" w:hAnsi="Times New Roman" w:cs="Times New Roman"/>
          <w:sz w:val="24"/>
          <w:szCs w:val="24"/>
        </w:rPr>
        <w:t>es</w:t>
      </w:r>
      <w:r w:rsidR="00ED0BB6" w:rsidRPr="00742207">
        <w:rPr>
          <w:rFonts w:ascii="Times New Roman" w:hAnsi="Times New Roman" w:cs="Times New Roman"/>
          <w:sz w:val="24"/>
          <w:szCs w:val="24"/>
        </w:rPr>
        <w:t xml:space="preserve"> </w:t>
      </w:r>
      <w:r w:rsidRPr="00742207">
        <w:rPr>
          <w:rFonts w:ascii="Times New Roman" w:hAnsi="Times New Roman" w:cs="Times New Roman"/>
          <w:sz w:val="24"/>
          <w:szCs w:val="24"/>
        </w:rPr>
        <w:t xml:space="preserve">the estate tax exemption to $3,500,000 and the gift tax exemption to $1,000,000, excluding gifts </w:t>
      </w:r>
      <w:r w:rsidR="00AC6FDE">
        <w:rPr>
          <w:rFonts w:ascii="Times New Roman" w:hAnsi="Times New Roman" w:cs="Times New Roman"/>
          <w:sz w:val="24"/>
          <w:szCs w:val="24"/>
        </w:rPr>
        <w:t xml:space="preserve">made prior to the proposed change in law </w:t>
      </w:r>
      <w:r w:rsidRPr="00742207">
        <w:rPr>
          <w:rFonts w:ascii="Times New Roman" w:hAnsi="Times New Roman" w:cs="Times New Roman"/>
          <w:sz w:val="24"/>
          <w:szCs w:val="24"/>
        </w:rPr>
        <w:t>and the annual exclusion amount of $15,000 per person (or $30,000 for gifts by a married couple)</w:t>
      </w:r>
      <w:r w:rsidR="00967DD6">
        <w:rPr>
          <w:rFonts w:ascii="Times New Roman" w:hAnsi="Times New Roman" w:cs="Times New Roman"/>
          <w:sz w:val="24"/>
          <w:szCs w:val="24"/>
        </w:rPr>
        <w:t>.  The Sanders Proposal also</w:t>
      </w:r>
      <w:r w:rsidR="00530B30">
        <w:rPr>
          <w:rFonts w:ascii="Times New Roman" w:hAnsi="Times New Roman" w:cs="Times New Roman"/>
          <w:sz w:val="24"/>
          <w:szCs w:val="24"/>
        </w:rPr>
        <w:t xml:space="preserve"> </w:t>
      </w:r>
      <w:r w:rsidR="006D70FF">
        <w:rPr>
          <w:rFonts w:ascii="Times New Roman" w:hAnsi="Times New Roman" w:cs="Times New Roman"/>
          <w:sz w:val="24"/>
          <w:szCs w:val="24"/>
        </w:rPr>
        <w:t>imposes</w:t>
      </w:r>
      <w:r w:rsidR="006D70FF" w:rsidRPr="00742207">
        <w:rPr>
          <w:rFonts w:ascii="Times New Roman" w:hAnsi="Times New Roman" w:cs="Times New Roman"/>
          <w:sz w:val="24"/>
          <w:szCs w:val="24"/>
        </w:rPr>
        <w:t xml:space="preserve"> </w:t>
      </w:r>
      <w:r w:rsidR="00530B30" w:rsidRPr="00742207">
        <w:rPr>
          <w:rFonts w:ascii="Times New Roman" w:hAnsi="Times New Roman" w:cs="Times New Roman"/>
          <w:sz w:val="24"/>
          <w:szCs w:val="24"/>
        </w:rPr>
        <w:t xml:space="preserve">progressive </w:t>
      </w:r>
      <w:r w:rsidR="00530B30">
        <w:rPr>
          <w:rFonts w:ascii="Times New Roman" w:hAnsi="Times New Roman" w:cs="Times New Roman"/>
          <w:sz w:val="24"/>
          <w:szCs w:val="24"/>
        </w:rPr>
        <w:t xml:space="preserve">estate </w:t>
      </w:r>
      <w:r w:rsidR="00530B30" w:rsidRPr="00742207">
        <w:rPr>
          <w:rFonts w:ascii="Times New Roman" w:hAnsi="Times New Roman" w:cs="Times New Roman"/>
          <w:sz w:val="24"/>
          <w:szCs w:val="24"/>
        </w:rPr>
        <w:t xml:space="preserve">tax rates, including 45% for estates over $3,500,000, 50% for estates over $10,000,000 and </w:t>
      </w:r>
      <w:r w:rsidR="00530B30">
        <w:rPr>
          <w:rFonts w:ascii="Times New Roman" w:hAnsi="Times New Roman" w:cs="Times New Roman"/>
          <w:sz w:val="24"/>
          <w:szCs w:val="24"/>
        </w:rPr>
        <w:t>reaching</w:t>
      </w:r>
      <w:r w:rsidR="00530B30" w:rsidRPr="00742207">
        <w:rPr>
          <w:rFonts w:ascii="Times New Roman" w:hAnsi="Times New Roman" w:cs="Times New Roman"/>
          <w:sz w:val="24"/>
          <w:szCs w:val="24"/>
        </w:rPr>
        <w:t xml:space="preserve"> as high as 65%</w:t>
      </w:r>
      <w:r w:rsidR="00530B30">
        <w:rPr>
          <w:rFonts w:ascii="Times New Roman" w:hAnsi="Times New Roman" w:cs="Times New Roman"/>
          <w:sz w:val="24"/>
          <w:szCs w:val="24"/>
        </w:rPr>
        <w:t xml:space="preserve"> for estates over $1 billion.</w:t>
      </w:r>
      <w:r w:rsidR="00F54DAD">
        <w:rPr>
          <w:rFonts w:ascii="Times New Roman" w:hAnsi="Times New Roman" w:cs="Times New Roman"/>
          <w:sz w:val="24"/>
          <w:szCs w:val="24"/>
        </w:rPr>
        <w:t xml:space="preserve">  </w:t>
      </w:r>
      <w:r w:rsidR="00EB2F98">
        <w:rPr>
          <w:rFonts w:ascii="Times New Roman" w:hAnsi="Times New Roman" w:cs="Times New Roman"/>
          <w:sz w:val="24"/>
          <w:szCs w:val="24"/>
        </w:rPr>
        <w:t xml:space="preserve">The House Proposal maintains the current rates and </w:t>
      </w:r>
      <w:r w:rsidR="00184CD8">
        <w:rPr>
          <w:rFonts w:ascii="Times New Roman" w:hAnsi="Times New Roman" w:cs="Times New Roman"/>
          <w:sz w:val="24"/>
          <w:szCs w:val="24"/>
        </w:rPr>
        <w:t>unified</w:t>
      </w:r>
      <w:r w:rsidR="00EB2F98">
        <w:rPr>
          <w:rFonts w:ascii="Times New Roman" w:hAnsi="Times New Roman" w:cs="Times New Roman"/>
          <w:sz w:val="24"/>
          <w:szCs w:val="24"/>
        </w:rPr>
        <w:t xml:space="preserve"> estate and gift exemptions but accelerates the sunsetting of the temporary increase in these exemption amounts, reducing them to their </w:t>
      </w:r>
      <w:r w:rsidR="00922F09">
        <w:rPr>
          <w:rFonts w:ascii="Times New Roman" w:hAnsi="Times New Roman" w:cs="Times New Roman"/>
          <w:sz w:val="24"/>
          <w:szCs w:val="24"/>
        </w:rPr>
        <w:t>pre-2018</w:t>
      </w:r>
      <w:r w:rsidR="00EB2F98">
        <w:rPr>
          <w:rFonts w:ascii="Times New Roman" w:hAnsi="Times New Roman" w:cs="Times New Roman"/>
          <w:sz w:val="24"/>
          <w:szCs w:val="24"/>
        </w:rPr>
        <w:t xml:space="preserve"> level of $5,000,000, indexed for inflation from 2010 (approximately $6,000,000 as of January 1, 2022)</w:t>
      </w:r>
      <w:r w:rsidR="00F30B9B">
        <w:rPr>
          <w:rFonts w:ascii="Times New Roman" w:hAnsi="Times New Roman" w:cs="Times New Roman"/>
          <w:sz w:val="24"/>
          <w:szCs w:val="24"/>
        </w:rPr>
        <w:t xml:space="preserve">.  </w:t>
      </w:r>
      <w:r w:rsidR="00ED0BB6">
        <w:rPr>
          <w:rFonts w:ascii="Times New Roman" w:hAnsi="Times New Roman" w:cs="Times New Roman"/>
          <w:sz w:val="24"/>
          <w:szCs w:val="24"/>
        </w:rPr>
        <w:t>The Biden Proposal does not address estate and gift taxes specifically.</w:t>
      </w:r>
    </w:p>
    <w:p w14:paraId="11A16803" w14:textId="77777777" w:rsidR="004D4722" w:rsidRDefault="004D4722" w:rsidP="004D4722">
      <w:pPr>
        <w:pStyle w:val="PlainText"/>
        <w:rPr>
          <w:rFonts w:ascii="Times New Roman" w:hAnsi="Times New Roman" w:cs="Times New Roman"/>
          <w:b/>
          <w:sz w:val="24"/>
          <w:szCs w:val="24"/>
        </w:rPr>
      </w:pPr>
    </w:p>
    <w:p w14:paraId="50033DB1" w14:textId="0D87427D" w:rsidR="00504AAA" w:rsidRDefault="001C4560" w:rsidP="004D4722">
      <w:pPr>
        <w:pStyle w:val="PlainText"/>
        <w:rPr>
          <w:rFonts w:ascii="Times New Roman" w:hAnsi="Times New Roman" w:cs="Times New Roman"/>
          <w:sz w:val="24"/>
          <w:szCs w:val="24"/>
        </w:rPr>
      </w:pPr>
      <w:r>
        <w:rPr>
          <w:rFonts w:ascii="Times New Roman" w:hAnsi="Times New Roman" w:cs="Times New Roman"/>
          <w:b/>
          <w:sz w:val="24"/>
          <w:szCs w:val="24"/>
        </w:rPr>
        <w:lastRenderedPageBreak/>
        <w:t>Tax Treatment</w:t>
      </w:r>
      <w:r w:rsidR="004D4722">
        <w:rPr>
          <w:rFonts w:ascii="Times New Roman" w:hAnsi="Times New Roman" w:cs="Times New Roman"/>
          <w:b/>
          <w:sz w:val="24"/>
          <w:szCs w:val="24"/>
        </w:rPr>
        <w:t xml:space="preserve"> </w:t>
      </w:r>
      <w:r w:rsidR="004D4722" w:rsidRPr="003917EB">
        <w:rPr>
          <w:rFonts w:ascii="Times New Roman" w:hAnsi="Times New Roman" w:cs="Times New Roman"/>
          <w:b/>
          <w:sz w:val="24"/>
          <w:szCs w:val="24"/>
        </w:rPr>
        <w:t>of Grantor Trusts:</w:t>
      </w:r>
      <w:r w:rsidR="004D4722">
        <w:rPr>
          <w:rFonts w:ascii="Times New Roman" w:hAnsi="Times New Roman" w:cs="Times New Roman"/>
          <w:sz w:val="24"/>
          <w:szCs w:val="24"/>
        </w:rPr>
        <w:t xml:space="preserve">  </w:t>
      </w:r>
      <w:r w:rsidR="00E2337A">
        <w:rPr>
          <w:rFonts w:ascii="Times New Roman" w:hAnsi="Times New Roman" w:cs="Times New Roman"/>
          <w:sz w:val="24"/>
          <w:szCs w:val="24"/>
        </w:rPr>
        <w:t>One</w:t>
      </w:r>
      <w:r w:rsidR="004D4722">
        <w:rPr>
          <w:rFonts w:ascii="Times New Roman" w:hAnsi="Times New Roman" w:cs="Times New Roman"/>
          <w:sz w:val="24"/>
          <w:szCs w:val="24"/>
        </w:rPr>
        <w:t xml:space="preserve"> popular planning technique is for an individual (the “grantor”) to make gifts to a “grantor trust” which</w:t>
      </w:r>
      <w:r w:rsidR="00E2337A">
        <w:rPr>
          <w:rFonts w:ascii="Times New Roman" w:hAnsi="Times New Roman" w:cs="Times New Roman"/>
          <w:sz w:val="24"/>
          <w:szCs w:val="24"/>
        </w:rPr>
        <w:t>, under current law,</w:t>
      </w:r>
      <w:r w:rsidR="004D4722">
        <w:rPr>
          <w:rFonts w:ascii="Times New Roman" w:hAnsi="Times New Roman" w:cs="Times New Roman"/>
          <w:sz w:val="24"/>
          <w:szCs w:val="24"/>
        </w:rPr>
        <w:t xml:space="preserve"> not only excludes the gifted assets from the grantor’s taxable estate at death but allows the grantor to further reduce his or her taxable estate by remaining obligated to pay income taxes on income earned on the assets in the grantor trust.  It is difficult to create many kinds of gifting trusts without having them treated as “grantor trusts.”  This is particularly true if the spouse of the grantor will be a beneficiary or a trustee of the trust.</w:t>
      </w:r>
      <w:r w:rsidR="008946F7">
        <w:rPr>
          <w:rFonts w:ascii="Times New Roman" w:hAnsi="Times New Roman" w:cs="Times New Roman"/>
          <w:sz w:val="24"/>
          <w:szCs w:val="24"/>
        </w:rPr>
        <w:t xml:space="preserve">  </w:t>
      </w:r>
    </w:p>
    <w:p w14:paraId="0CC63E23" w14:textId="77777777" w:rsidR="00504AAA" w:rsidRDefault="00504AAA" w:rsidP="004D4722">
      <w:pPr>
        <w:pStyle w:val="PlainText"/>
        <w:rPr>
          <w:rFonts w:ascii="Times New Roman" w:hAnsi="Times New Roman" w:cs="Times New Roman"/>
          <w:sz w:val="24"/>
          <w:szCs w:val="24"/>
        </w:rPr>
      </w:pPr>
    </w:p>
    <w:p w14:paraId="710F6C1E" w14:textId="59E4EE48" w:rsidR="00504AAA" w:rsidRDefault="00504AAA" w:rsidP="00504AAA">
      <w:pPr>
        <w:pStyle w:val="PlainText"/>
        <w:numPr>
          <w:ilvl w:val="0"/>
          <w:numId w:val="10"/>
        </w:numPr>
        <w:rPr>
          <w:rFonts w:ascii="Times New Roman" w:hAnsi="Times New Roman" w:cs="Times New Roman"/>
          <w:sz w:val="24"/>
          <w:szCs w:val="24"/>
        </w:rPr>
      </w:pPr>
      <w:r w:rsidRPr="00ED0BB6">
        <w:rPr>
          <w:rFonts w:ascii="Times New Roman" w:hAnsi="Times New Roman" w:cs="Times New Roman"/>
          <w:b/>
          <w:sz w:val="24"/>
          <w:szCs w:val="24"/>
        </w:rPr>
        <w:t>Estate Tax Inclusion of Grantor Trusts:</w:t>
      </w:r>
      <w:r>
        <w:rPr>
          <w:rFonts w:ascii="Times New Roman" w:hAnsi="Times New Roman" w:cs="Times New Roman"/>
          <w:sz w:val="24"/>
          <w:szCs w:val="24"/>
        </w:rPr>
        <w:t xml:space="preserve">  </w:t>
      </w:r>
      <w:r w:rsidR="004D4722">
        <w:rPr>
          <w:rFonts w:ascii="Times New Roman" w:hAnsi="Times New Roman" w:cs="Times New Roman"/>
          <w:sz w:val="24"/>
          <w:szCs w:val="24"/>
        </w:rPr>
        <w:t xml:space="preserve">The Sanders Proposal and the House Proposal both (1) treat grantor trusts as includible in the </w:t>
      </w:r>
      <w:r w:rsidR="004D4722" w:rsidRPr="00742207">
        <w:rPr>
          <w:rFonts w:ascii="Times New Roman" w:hAnsi="Times New Roman" w:cs="Times New Roman"/>
          <w:sz w:val="24"/>
          <w:szCs w:val="24"/>
        </w:rPr>
        <w:t>grantor’s taxable estate</w:t>
      </w:r>
      <w:r w:rsidR="004D4722">
        <w:rPr>
          <w:rFonts w:ascii="Times New Roman" w:hAnsi="Times New Roman" w:cs="Times New Roman"/>
          <w:sz w:val="24"/>
          <w:szCs w:val="24"/>
        </w:rPr>
        <w:t xml:space="preserve"> at death and (2) subject any distributions from grantor trusts to trust beneficiaries (other than the grantor or the grantor’s spouse) during the grantor’s life as gifts subject to the federal gift tax.  Under the House Proposal, the new rules would apply to all grantor trusts created </w:t>
      </w:r>
      <w:r w:rsidR="004D4722" w:rsidRPr="00E50E31">
        <w:rPr>
          <w:rFonts w:ascii="Times New Roman" w:hAnsi="Times New Roman" w:cs="Times New Roman"/>
          <w:i/>
          <w:sz w:val="24"/>
          <w:szCs w:val="24"/>
        </w:rPr>
        <w:t>after</w:t>
      </w:r>
      <w:r w:rsidR="004D4722">
        <w:rPr>
          <w:rFonts w:ascii="Times New Roman" w:hAnsi="Times New Roman" w:cs="Times New Roman"/>
          <w:sz w:val="24"/>
          <w:szCs w:val="24"/>
        </w:rPr>
        <w:t xml:space="preserve"> the date of enactment </w:t>
      </w:r>
      <w:r w:rsidR="004D4722" w:rsidRPr="003917EB">
        <w:rPr>
          <w:rFonts w:ascii="Times New Roman" w:hAnsi="Times New Roman" w:cs="Times New Roman"/>
          <w:i/>
          <w:sz w:val="24"/>
          <w:szCs w:val="24"/>
        </w:rPr>
        <w:t>and</w:t>
      </w:r>
      <w:r w:rsidR="004D4722">
        <w:rPr>
          <w:rFonts w:ascii="Times New Roman" w:hAnsi="Times New Roman" w:cs="Times New Roman"/>
          <w:sz w:val="24"/>
          <w:szCs w:val="24"/>
        </w:rPr>
        <w:t xml:space="preserve"> to portions of grantor trusts created </w:t>
      </w:r>
      <w:r w:rsidR="004D4722" w:rsidRPr="00E50E31">
        <w:rPr>
          <w:rFonts w:ascii="Times New Roman" w:hAnsi="Times New Roman" w:cs="Times New Roman"/>
          <w:i/>
          <w:sz w:val="24"/>
          <w:szCs w:val="24"/>
        </w:rPr>
        <w:t>before</w:t>
      </w:r>
      <w:r w:rsidR="004D4722">
        <w:rPr>
          <w:rFonts w:ascii="Times New Roman" w:hAnsi="Times New Roman" w:cs="Times New Roman"/>
          <w:sz w:val="24"/>
          <w:szCs w:val="24"/>
        </w:rPr>
        <w:t xml:space="preserve"> the date of enactment if any contributions are made to those trusts after the date of enactment.  As such, the House Proposal effectively eliminates the use of newly created grantor trusts, including most Life Insurance Trusts, Spousal Estate Reduction Trusts (sometimes called “SLATs”), Grantor Retained Annuity Trusts (“GRATs”) and Qualified Personal Residence Trusts (“QPRTs”), as estate tax avoidance vehicles.  </w:t>
      </w:r>
      <w:r w:rsidR="007C1A95">
        <w:rPr>
          <w:rFonts w:ascii="Times New Roman" w:hAnsi="Times New Roman" w:cs="Times New Roman"/>
          <w:sz w:val="24"/>
          <w:szCs w:val="24"/>
        </w:rPr>
        <w:t>To be clear</w:t>
      </w:r>
      <w:r w:rsidR="006C3F38">
        <w:rPr>
          <w:rFonts w:ascii="Times New Roman" w:hAnsi="Times New Roman" w:cs="Times New Roman"/>
          <w:sz w:val="24"/>
          <w:szCs w:val="24"/>
        </w:rPr>
        <w:t xml:space="preserve">, although grantor trusts created and </w:t>
      </w:r>
      <w:r w:rsidR="006C3F38" w:rsidRPr="00AF23F6">
        <w:rPr>
          <w:rFonts w:ascii="Times New Roman" w:hAnsi="Times New Roman" w:cs="Times New Roman"/>
          <w:sz w:val="24"/>
          <w:szCs w:val="24"/>
        </w:rPr>
        <w:t>funded</w:t>
      </w:r>
      <w:r w:rsidR="006C3F38">
        <w:rPr>
          <w:rFonts w:ascii="Times New Roman" w:hAnsi="Times New Roman" w:cs="Times New Roman"/>
          <w:sz w:val="24"/>
          <w:szCs w:val="24"/>
        </w:rPr>
        <w:t xml:space="preserve"> prior to the date of enactment of the law would be grandfathered, additional contributions to such grandfathered trusts, such as premium payments, and ongoing transactions between the grantor and the grantor trust, such as loans and leases, may have undesirable income and estate tax consequences.  F</w:t>
      </w:r>
      <w:r w:rsidR="006C3F38" w:rsidRPr="00E50E31">
        <w:rPr>
          <w:rFonts w:ascii="Times New Roman" w:hAnsi="Times New Roman" w:cs="Times New Roman"/>
          <w:sz w:val="24"/>
          <w:szCs w:val="24"/>
        </w:rPr>
        <w:t xml:space="preserve">or clients who still need to pay premiums on policies owned by existing Life Insurance Trusts, the House Proposal’s change to the grantor trust rules </w:t>
      </w:r>
      <w:r w:rsidR="00AA479E">
        <w:rPr>
          <w:rFonts w:ascii="Times New Roman" w:hAnsi="Times New Roman" w:cs="Times New Roman"/>
          <w:sz w:val="24"/>
          <w:szCs w:val="24"/>
        </w:rPr>
        <w:t xml:space="preserve">would </w:t>
      </w:r>
      <w:r w:rsidR="006C3F38" w:rsidRPr="00E50E31">
        <w:rPr>
          <w:rFonts w:ascii="Times New Roman" w:hAnsi="Times New Roman" w:cs="Times New Roman"/>
          <w:sz w:val="24"/>
          <w:szCs w:val="24"/>
        </w:rPr>
        <w:t>present a significant challenge.  Unless a carveout for payments of insurance premiums is added to the legislation (as it was in other proposals), each premium paid by a grantor after the date of enactment would chip away at the estate tax savings afforded by the Life Insurance Trust.</w:t>
      </w:r>
    </w:p>
    <w:p w14:paraId="7860189E" w14:textId="77777777" w:rsidR="00504AAA" w:rsidRDefault="00504AAA" w:rsidP="00504AAA">
      <w:pPr>
        <w:pStyle w:val="PlainText"/>
        <w:rPr>
          <w:rFonts w:ascii="Times New Roman" w:hAnsi="Times New Roman" w:cs="Times New Roman"/>
          <w:b/>
          <w:sz w:val="24"/>
          <w:szCs w:val="24"/>
        </w:rPr>
      </w:pPr>
    </w:p>
    <w:p w14:paraId="06B2FF09" w14:textId="0A01C1F5" w:rsidR="001C4560" w:rsidRPr="005A49C2" w:rsidRDefault="008F289E" w:rsidP="00ED0BB6">
      <w:pPr>
        <w:pStyle w:val="PlainText"/>
        <w:numPr>
          <w:ilvl w:val="0"/>
          <w:numId w:val="10"/>
        </w:numPr>
        <w:rPr>
          <w:rFonts w:ascii="Times New Roman" w:hAnsi="Times New Roman" w:cs="Times New Roman"/>
          <w:sz w:val="24"/>
          <w:szCs w:val="24"/>
        </w:rPr>
      </w:pPr>
      <w:r>
        <w:rPr>
          <w:rFonts w:ascii="Times New Roman" w:hAnsi="Times New Roman" w:cs="Times New Roman"/>
          <w:b/>
          <w:sz w:val="24"/>
          <w:szCs w:val="24"/>
        </w:rPr>
        <w:t xml:space="preserve">Capital Gains on </w:t>
      </w:r>
      <w:r w:rsidR="001C4560" w:rsidRPr="003917EB">
        <w:rPr>
          <w:rFonts w:ascii="Times New Roman" w:hAnsi="Times New Roman" w:cs="Times New Roman"/>
          <w:b/>
          <w:sz w:val="24"/>
          <w:szCs w:val="24"/>
        </w:rPr>
        <w:t>Sales to Grantor Trusts:</w:t>
      </w:r>
      <w:r w:rsidR="001C4560">
        <w:rPr>
          <w:rFonts w:ascii="Times New Roman" w:hAnsi="Times New Roman" w:cs="Times New Roman"/>
          <w:sz w:val="24"/>
          <w:szCs w:val="24"/>
        </w:rPr>
        <w:t xml:space="preserve">  In some cases, clients who have used most or all of their available gift tax exemptions may “freeze” the value of an asset with perceived appreciation potential by selling the asset to an existing grantor trust in return for an interest-bearing promissory note.  After the sale, any appreciation in the sold asset would accrue to the trust beneficiaries outside of the grantor’s taxable estate.  Because the grantor is the deemed owner of a grantor trust for income tax purposes, the sale is disregarded for income tax purposes -- the grantor does not recognize gain or loss on the sale and does not pay income tax on the interest payments received </w:t>
      </w:r>
      <w:r w:rsidR="006D70FF">
        <w:rPr>
          <w:rFonts w:ascii="Times New Roman" w:hAnsi="Times New Roman" w:cs="Times New Roman"/>
          <w:sz w:val="24"/>
          <w:szCs w:val="24"/>
        </w:rPr>
        <w:t>pursuant to</w:t>
      </w:r>
      <w:r w:rsidR="001C4560">
        <w:rPr>
          <w:rFonts w:ascii="Times New Roman" w:hAnsi="Times New Roman" w:cs="Times New Roman"/>
          <w:sz w:val="24"/>
          <w:szCs w:val="24"/>
        </w:rPr>
        <w:t xml:space="preserve"> the </w:t>
      </w:r>
      <w:r w:rsidR="006D70FF">
        <w:rPr>
          <w:rFonts w:ascii="Times New Roman" w:hAnsi="Times New Roman" w:cs="Times New Roman"/>
          <w:sz w:val="24"/>
          <w:szCs w:val="24"/>
        </w:rPr>
        <w:t xml:space="preserve">terms of the </w:t>
      </w:r>
      <w:r w:rsidR="001C4560">
        <w:rPr>
          <w:rFonts w:ascii="Times New Roman" w:hAnsi="Times New Roman" w:cs="Times New Roman"/>
          <w:sz w:val="24"/>
          <w:szCs w:val="24"/>
        </w:rPr>
        <w:t>promissory note.  Without this crucial</w:t>
      </w:r>
      <w:r w:rsidR="00ED0BB6">
        <w:rPr>
          <w:rFonts w:ascii="Times New Roman" w:hAnsi="Times New Roman" w:cs="Times New Roman"/>
          <w:sz w:val="24"/>
          <w:szCs w:val="24"/>
        </w:rPr>
        <w:t xml:space="preserve"> income tax</w:t>
      </w:r>
      <w:r w:rsidR="001C4560">
        <w:rPr>
          <w:rFonts w:ascii="Times New Roman" w:hAnsi="Times New Roman" w:cs="Times New Roman"/>
          <w:sz w:val="24"/>
          <w:szCs w:val="24"/>
        </w:rPr>
        <w:t xml:space="preserve"> feature, few taxpayers would engage in this powerful transaction.  Under the House Proposal, effective on the date of enactment, sales to grantor trusts would no longer be disregarded for income tax purposes and would instead </w:t>
      </w:r>
      <w:r w:rsidR="00E2337A">
        <w:rPr>
          <w:rFonts w:ascii="Times New Roman" w:hAnsi="Times New Roman" w:cs="Times New Roman"/>
          <w:sz w:val="24"/>
          <w:szCs w:val="24"/>
        </w:rPr>
        <w:t xml:space="preserve">be </w:t>
      </w:r>
      <w:r w:rsidR="001C4560">
        <w:rPr>
          <w:rFonts w:ascii="Times New Roman" w:hAnsi="Times New Roman" w:cs="Times New Roman"/>
          <w:sz w:val="24"/>
          <w:szCs w:val="24"/>
        </w:rPr>
        <w:t xml:space="preserve">treated like any other arms-length sale (i.e., subjected to capital gains tax). </w:t>
      </w:r>
    </w:p>
    <w:p w14:paraId="357D2A0E" w14:textId="77777777" w:rsidR="00742207" w:rsidRPr="00742207" w:rsidRDefault="00742207" w:rsidP="00742207">
      <w:pPr>
        <w:pStyle w:val="PlainText"/>
        <w:rPr>
          <w:rFonts w:ascii="Times New Roman" w:hAnsi="Times New Roman" w:cs="Times New Roman"/>
          <w:sz w:val="24"/>
          <w:szCs w:val="24"/>
        </w:rPr>
      </w:pPr>
    </w:p>
    <w:p w14:paraId="2803BAD4" w14:textId="57BDDDE4" w:rsidR="002B7D92" w:rsidRDefault="004D4722" w:rsidP="004D4722">
      <w:pPr>
        <w:pStyle w:val="PlainText"/>
        <w:rPr>
          <w:rFonts w:ascii="Times New Roman" w:hAnsi="Times New Roman" w:cs="Times New Roman"/>
          <w:sz w:val="24"/>
          <w:szCs w:val="24"/>
        </w:rPr>
      </w:pPr>
      <w:r>
        <w:rPr>
          <w:rFonts w:ascii="Times New Roman" w:hAnsi="Times New Roman" w:cs="Times New Roman"/>
          <w:b/>
          <w:sz w:val="24"/>
          <w:szCs w:val="24"/>
        </w:rPr>
        <w:t xml:space="preserve">Proposals relating to the </w:t>
      </w:r>
      <w:r w:rsidRPr="00BA3180">
        <w:rPr>
          <w:rFonts w:ascii="Times New Roman" w:hAnsi="Times New Roman" w:cs="Times New Roman"/>
          <w:b/>
          <w:sz w:val="24"/>
          <w:szCs w:val="24"/>
        </w:rPr>
        <w:t>Generation-Skipping Transfer Tax</w:t>
      </w:r>
      <w:r>
        <w:rPr>
          <w:rFonts w:ascii="Times New Roman" w:hAnsi="Times New Roman" w:cs="Times New Roman"/>
          <w:b/>
          <w:sz w:val="24"/>
          <w:szCs w:val="24"/>
        </w:rPr>
        <w:t xml:space="preserve"> (“GST Tax”) and longer term trusts</w:t>
      </w:r>
      <w:r w:rsidRPr="00742207">
        <w:rPr>
          <w:rFonts w:ascii="Times New Roman" w:hAnsi="Times New Roman" w:cs="Times New Roman"/>
          <w:sz w:val="24"/>
          <w:szCs w:val="24"/>
        </w:rPr>
        <w:t xml:space="preserve">: </w:t>
      </w:r>
      <w:r>
        <w:rPr>
          <w:rFonts w:ascii="Times New Roman" w:hAnsi="Times New Roman" w:cs="Times New Roman"/>
          <w:sz w:val="24"/>
          <w:szCs w:val="24"/>
        </w:rPr>
        <w:t>Under current law, assets passing from a grandparent to a grandchild, either directly or by trust, are subject to a generation-skipping transfer tax of 40%, but</w:t>
      </w:r>
      <w:r>
        <w:rPr>
          <w:rFonts w:ascii="Times New Roman" w:hAnsi="Times New Roman" w:cs="Times New Roman"/>
          <w:b/>
          <w:sz w:val="24"/>
          <w:szCs w:val="24"/>
        </w:rPr>
        <w:t xml:space="preserve"> </w:t>
      </w:r>
      <w:r>
        <w:rPr>
          <w:rFonts w:ascii="Times New Roman" w:hAnsi="Times New Roman" w:cs="Times New Roman"/>
          <w:sz w:val="24"/>
          <w:szCs w:val="24"/>
        </w:rPr>
        <w:t xml:space="preserve">each individual has an </w:t>
      </w:r>
      <w:r>
        <w:rPr>
          <w:rFonts w:ascii="Times New Roman" w:hAnsi="Times New Roman" w:cs="Times New Roman"/>
          <w:sz w:val="24"/>
          <w:szCs w:val="24"/>
        </w:rPr>
        <w:lastRenderedPageBreak/>
        <w:t xml:space="preserve">$11,700,000 exemption from this generation-skipping transfer tax (“GST Exemption”).  This means that, through proper planning, clients can use their GST Exemptions to fund trusts to benefit multiple generations </w:t>
      </w:r>
      <w:r w:rsidR="00F40494">
        <w:rPr>
          <w:rFonts w:ascii="Times New Roman" w:hAnsi="Times New Roman" w:cs="Times New Roman"/>
          <w:sz w:val="24"/>
          <w:szCs w:val="24"/>
        </w:rPr>
        <w:t xml:space="preserve">without the imposition of transfer tax </w:t>
      </w:r>
      <w:r>
        <w:rPr>
          <w:rFonts w:ascii="Times New Roman" w:hAnsi="Times New Roman" w:cs="Times New Roman"/>
          <w:sz w:val="24"/>
          <w:szCs w:val="24"/>
        </w:rPr>
        <w:t xml:space="preserve">(“GST Trusts”).  Currently, GST Trusts may last as long as state law permits: 800 years in Connecticut, 360 years in Florida and, in simple terms, approximately 100 years in New York.  </w:t>
      </w:r>
      <w:r w:rsidRPr="00742207">
        <w:rPr>
          <w:rFonts w:ascii="Times New Roman" w:hAnsi="Times New Roman" w:cs="Times New Roman"/>
          <w:sz w:val="24"/>
          <w:szCs w:val="24"/>
        </w:rPr>
        <w:t xml:space="preserve">The Sanders Proposal limits GST trusts to 50 years and applies GST </w:t>
      </w:r>
      <w:r>
        <w:rPr>
          <w:rFonts w:ascii="Times New Roman" w:hAnsi="Times New Roman" w:cs="Times New Roman"/>
          <w:sz w:val="24"/>
          <w:szCs w:val="24"/>
        </w:rPr>
        <w:t>T</w:t>
      </w:r>
      <w:r w:rsidRPr="00742207">
        <w:rPr>
          <w:rFonts w:ascii="Times New Roman" w:hAnsi="Times New Roman" w:cs="Times New Roman"/>
          <w:sz w:val="24"/>
          <w:szCs w:val="24"/>
        </w:rPr>
        <w:t xml:space="preserve">ax at </w:t>
      </w:r>
      <w:r>
        <w:rPr>
          <w:rFonts w:ascii="Times New Roman" w:hAnsi="Times New Roman" w:cs="Times New Roman"/>
          <w:sz w:val="24"/>
          <w:szCs w:val="24"/>
        </w:rPr>
        <w:t>the end of such 50 year period</w:t>
      </w:r>
      <w:r w:rsidRPr="00742207">
        <w:rPr>
          <w:rFonts w:ascii="Times New Roman" w:hAnsi="Times New Roman" w:cs="Times New Roman"/>
          <w:sz w:val="24"/>
          <w:szCs w:val="24"/>
        </w:rPr>
        <w:t>.</w:t>
      </w:r>
      <w:r>
        <w:rPr>
          <w:rFonts w:ascii="Times New Roman" w:hAnsi="Times New Roman" w:cs="Times New Roman"/>
          <w:sz w:val="24"/>
          <w:szCs w:val="24"/>
        </w:rPr>
        <w:t xml:space="preserve">  In addition, the Sanders Proposal increases the GST Tax rate from 40% to 65%.  </w:t>
      </w:r>
      <w:r w:rsidRPr="00742207">
        <w:rPr>
          <w:rFonts w:ascii="Times New Roman" w:hAnsi="Times New Roman" w:cs="Times New Roman"/>
          <w:sz w:val="24"/>
          <w:szCs w:val="24"/>
        </w:rPr>
        <w:t xml:space="preserve">The STEP Act includes a proposal to tax unrealized appreciation of trust assets every 21 years.  Where a trust holds property which has not recognized gain in 90 years (from </w:t>
      </w:r>
      <w:r>
        <w:rPr>
          <w:rFonts w:ascii="Times New Roman" w:hAnsi="Times New Roman" w:cs="Times New Roman"/>
          <w:sz w:val="24"/>
          <w:szCs w:val="24"/>
        </w:rPr>
        <w:t xml:space="preserve">a start date of </w:t>
      </w:r>
      <w:r w:rsidRPr="00742207">
        <w:rPr>
          <w:rFonts w:ascii="Times New Roman" w:hAnsi="Times New Roman" w:cs="Times New Roman"/>
          <w:sz w:val="24"/>
          <w:szCs w:val="24"/>
        </w:rPr>
        <w:t xml:space="preserve">January 1, 1940), </w:t>
      </w:r>
      <w:r>
        <w:rPr>
          <w:rFonts w:ascii="Times New Roman" w:hAnsi="Times New Roman" w:cs="Times New Roman"/>
          <w:sz w:val="24"/>
          <w:szCs w:val="24"/>
        </w:rPr>
        <w:t xml:space="preserve">the </w:t>
      </w:r>
      <w:r w:rsidRPr="00742207">
        <w:rPr>
          <w:rFonts w:ascii="Times New Roman" w:hAnsi="Times New Roman" w:cs="Times New Roman"/>
          <w:sz w:val="24"/>
          <w:szCs w:val="24"/>
        </w:rPr>
        <w:t xml:space="preserve">Biden Proposal </w:t>
      </w:r>
      <w:r>
        <w:rPr>
          <w:rFonts w:ascii="Times New Roman" w:hAnsi="Times New Roman" w:cs="Times New Roman"/>
          <w:sz w:val="24"/>
          <w:szCs w:val="24"/>
        </w:rPr>
        <w:t xml:space="preserve">provides </w:t>
      </w:r>
      <w:r w:rsidRPr="00742207">
        <w:rPr>
          <w:rFonts w:ascii="Times New Roman" w:hAnsi="Times New Roman" w:cs="Times New Roman"/>
          <w:sz w:val="24"/>
          <w:szCs w:val="24"/>
        </w:rPr>
        <w:t xml:space="preserve">that </w:t>
      </w:r>
      <w:r w:rsidR="009647C0">
        <w:rPr>
          <w:rFonts w:ascii="Times New Roman" w:hAnsi="Times New Roman" w:cs="Times New Roman"/>
          <w:sz w:val="24"/>
          <w:szCs w:val="24"/>
        </w:rPr>
        <w:t xml:space="preserve">such </w:t>
      </w:r>
      <w:r w:rsidRPr="00742207">
        <w:rPr>
          <w:rFonts w:ascii="Times New Roman" w:hAnsi="Times New Roman" w:cs="Times New Roman"/>
          <w:sz w:val="24"/>
          <w:szCs w:val="24"/>
        </w:rPr>
        <w:t xml:space="preserve">gain must be </w:t>
      </w:r>
      <w:r w:rsidR="009647C0">
        <w:rPr>
          <w:rFonts w:ascii="Times New Roman" w:hAnsi="Times New Roman" w:cs="Times New Roman"/>
          <w:sz w:val="24"/>
          <w:szCs w:val="24"/>
        </w:rPr>
        <w:t xml:space="preserve">realized and </w:t>
      </w:r>
      <w:r w:rsidR="0040698B">
        <w:rPr>
          <w:rFonts w:ascii="Times New Roman" w:hAnsi="Times New Roman" w:cs="Times New Roman"/>
          <w:sz w:val="24"/>
          <w:szCs w:val="24"/>
        </w:rPr>
        <w:t xml:space="preserve">subjected to capital gains </w:t>
      </w:r>
      <w:r w:rsidR="009647C0">
        <w:rPr>
          <w:rFonts w:ascii="Times New Roman" w:hAnsi="Times New Roman" w:cs="Times New Roman"/>
          <w:sz w:val="24"/>
          <w:szCs w:val="24"/>
        </w:rPr>
        <w:t xml:space="preserve">tax </w:t>
      </w:r>
      <w:r>
        <w:rPr>
          <w:rFonts w:ascii="Times New Roman" w:hAnsi="Times New Roman" w:cs="Times New Roman"/>
          <w:sz w:val="24"/>
          <w:szCs w:val="24"/>
        </w:rPr>
        <w:t xml:space="preserve">at </w:t>
      </w:r>
      <w:r w:rsidR="00ED0BB6">
        <w:rPr>
          <w:rFonts w:ascii="Times New Roman" w:hAnsi="Times New Roman" w:cs="Times New Roman"/>
          <w:sz w:val="24"/>
          <w:szCs w:val="24"/>
        </w:rPr>
        <w:t>the end of such 90 year period</w:t>
      </w:r>
      <w:r w:rsidR="009647C0">
        <w:rPr>
          <w:rFonts w:ascii="Times New Roman" w:hAnsi="Times New Roman" w:cs="Times New Roman"/>
          <w:sz w:val="24"/>
          <w:szCs w:val="24"/>
        </w:rPr>
        <w:t xml:space="preserve"> (or as early as December 31, 20</w:t>
      </w:r>
      <w:r w:rsidR="00E36667">
        <w:rPr>
          <w:rFonts w:ascii="Times New Roman" w:hAnsi="Times New Roman" w:cs="Times New Roman"/>
          <w:sz w:val="24"/>
          <w:szCs w:val="24"/>
        </w:rPr>
        <w:t>30)</w:t>
      </w:r>
      <w:r w:rsidRPr="00742207">
        <w:rPr>
          <w:rFonts w:ascii="Times New Roman" w:hAnsi="Times New Roman" w:cs="Times New Roman"/>
          <w:sz w:val="24"/>
          <w:szCs w:val="24"/>
        </w:rPr>
        <w:t>.</w:t>
      </w:r>
      <w:r>
        <w:rPr>
          <w:rFonts w:ascii="Times New Roman" w:hAnsi="Times New Roman" w:cs="Times New Roman"/>
          <w:sz w:val="24"/>
          <w:szCs w:val="24"/>
        </w:rPr>
        <w:t xml:space="preserve">  </w:t>
      </w:r>
      <w:r w:rsidR="00ED0BB6">
        <w:rPr>
          <w:rFonts w:ascii="Times New Roman" w:hAnsi="Times New Roman" w:cs="Times New Roman"/>
          <w:sz w:val="24"/>
          <w:szCs w:val="24"/>
        </w:rPr>
        <w:t xml:space="preserve">While </w:t>
      </w:r>
      <w:r w:rsidR="00ED0BB6" w:rsidRPr="00E50E31">
        <w:rPr>
          <w:rFonts w:ascii="Times New Roman" w:hAnsi="Times New Roman" w:cs="Times New Roman"/>
          <w:sz w:val="24"/>
          <w:szCs w:val="24"/>
        </w:rPr>
        <w:t>the House Proposal does not contain any provisions</w:t>
      </w:r>
      <w:r w:rsidR="00ED0BB6">
        <w:rPr>
          <w:rFonts w:ascii="Times New Roman" w:hAnsi="Times New Roman" w:cs="Times New Roman"/>
          <w:sz w:val="24"/>
          <w:szCs w:val="24"/>
        </w:rPr>
        <w:t xml:space="preserve"> limiting the </w:t>
      </w:r>
      <w:r w:rsidR="006D70FF">
        <w:rPr>
          <w:rFonts w:ascii="Times New Roman" w:hAnsi="Times New Roman" w:cs="Times New Roman"/>
          <w:sz w:val="24"/>
          <w:szCs w:val="24"/>
        </w:rPr>
        <w:t xml:space="preserve">duration </w:t>
      </w:r>
      <w:r w:rsidR="00ED0BB6">
        <w:rPr>
          <w:rFonts w:ascii="Times New Roman" w:hAnsi="Times New Roman" w:cs="Times New Roman"/>
          <w:sz w:val="24"/>
          <w:szCs w:val="24"/>
        </w:rPr>
        <w:t>of GST Trusts or causing</w:t>
      </w:r>
      <w:r w:rsidR="00ED0BB6" w:rsidRPr="00E50E31">
        <w:rPr>
          <w:rFonts w:ascii="Times New Roman" w:hAnsi="Times New Roman" w:cs="Times New Roman"/>
          <w:sz w:val="24"/>
          <w:szCs w:val="24"/>
        </w:rPr>
        <w:t xml:space="preserve"> recognition of gain on unrealized appreciation</w:t>
      </w:r>
      <w:r w:rsidR="00ED0BB6">
        <w:rPr>
          <w:rFonts w:ascii="Times New Roman" w:hAnsi="Times New Roman" w:cs="Times New Roman"/>
          <w:sz w:val="24"/>
          <w:szCs w:val="24"/>
        </w:rPr>
        <w:t xml:space="preserve"> after a period of years, </w:t>
      </w:r>
      <w:r w:rsidR="006D70FF">
        <w:rPr>
          <w:rFonts w:ascii="Times New Roman" w:hAnsi="Times New Roman" w:cs="Times New Roman"/>
          <w:sz w:val="24"/>
          <w:szCs w:val="24"/>
        </w:rPr>
        <w:t xml:space="preserve">the House Proposal reduces the GST Exemption to its pre-2018 Tax Act amount of $5,000,000 indexed for inflation since 2010 (or approximately $6,000,000 in 2022) effective December 31, 2021, which is consistent with the </w:t>
      </w:r>
      <w:r w:rsidR="008218D1">
        <w:rPr>
          <w:rFonts w:ascii="Times New Roman" w:hAnsi="Times New Roman" w:cs="Times New Roman"/>
          <w:sz w:val="24"/>
          <w:szCs w:val="24"/>
        </w:rPr>
        <w:t xml:space="preserve">proposed </w:t>
      </w:r>
      <w:r w:rsidR="006D70FF">
        <w:rPr>
          <w:rFonts w:ascii="Times New Roman" w:hAnsi="Times New Roman" w:cs="Times New Roman"/>
          <w:sz w:val="24"/>
          <w:szCs w:val="24"/>
        </w:rPr>
        <w:t xml:space="preserve">changes to </w:t>
      </w:r>
      <w:r>
        <w:rPr>
          <w:rFonts w:ascii="Times New Roman" w:hAnsi="Times New Roman" w:cs="Times New Roman"/>
          <w:sz w:val="24"/>
          <w:szCs w:val="24"/>
        </w:rPr>
        <w:t>the federal estate and gift tax exemption</w:t>
      </w:r>
      <w:r w:rsidRPr="00E50E31">
        <w:rPr>
          <w:rFonts w:ascii="Times New Roman" w:hAnsi="Times New Roman" w:cs="Times New Roman"/>
          <w:sz w:val="24"/>
          <w:szCs w:val="24"/>
        </w:rPr>
        <w:t>.</w:t>
      </w:r>
    </w:p>
    <w:p w14:paraId="35A4900B" w14:textId="77777777" w:rsidR="001C4560" w:rsidRDefault="001C4560" w:rsidP="004D4722">
      <w:pPr>
        <w:pStyle w:val="PlainText"/>
        <w:rPr>
          <w:rFonts w:ascii="Times New Roman" w:hAnsi="Times New Roman" w:cs="Times New Roman"/>
          <w:sz w:val="24"/>
          <w:szCs w:val="24"/>
        </w:rPr>
      </w:pPr>
    </w:p>
    <w:p w14:paraId="346A71EA" w14:textId="1638F96F" w:rsidR="00CB49E0" w:rsidRDefault="008218D1" w:rsidP="00742207">
      <w:pPr>
        <w:pStyle w:val="PlainText"/>
        <w:rPr>
          <w:rFonts w:ascii="Times New Roman" w:hAnsi="Times New Roman" w:cs="Times New Roman"/>
          <w:sz w:val="24"/>
          <w:szCs w:val="24"/>
        </w:rPr>
      </w:pPr>
      <w:r>
        <w:rPr>
          <w:rFonts w:ascii="Times New Roman" w:hAnsi="Times New Roman" w:cs="Times New Roman"/>
          <w:b/>
          <w:sz w:val="24"/>
          <w:szCs w:val="24"/>
        </w:rPr>
        <w:t xml:space="preserve">Proposal to </w:t>
      </w:r>
      <w:r w:rsidR="00CB49E0">
        <w:rPr>
          <w:rFonts w:ascii="Times New Roman" w:hAnsi="Times New Roman" w:cs="Times New Roman"/>
          <w:b/>
          <w:sz w:val="24"/>
          <w:szCs w:val="24"/>
        </w:rPr>
        <w:t xml:space="preserve">Eliminate </w:t>
      </w:r>
      <w:r w:rsidR="00CB49E0" w:rsidRPr="00A558B6">
        <w:rPr>
          <w:rFonts w:ascii="Times New Roman" w:hAnsi="Times New Roman" w:cs="Times New Roman"/>
          <w:b/>
          <w:sz w:val="24"/>
          <w:szCs w:val="24"/>
        </w:rPr>
        <w:t>Discounts o</w:t>
      </w:r>
      <w:r w:rsidR="00CB49E0">
        <w:rPr>
          <w:rFonts w:ascii="Times New Roman" w:hAnsi="Times New Roman" w:cs="Times New Roman"/>
          <w:b/>
          <w:sz w:val="24"/>
          <w:szCs w:val="24"/>
        </w:rPr>
        <w:t>n</w:t>
      </w:r>
      <w:r w:rsidR="00CB49E0" w:rsidRPr="00A558B6">
        <w:rPr>
          <w:rFonts w:ascii="Times New Roman" w:hAnsi="Times New Roman" w:cs="Times New Roman"/>
          <w:b/>
          <w:sz w:val="24"/>
          <w:szCs w:val="24"/>
        </w:rPr>
        <w:t xml:space="preserve"> </w:t>
      </w:r>
      <w:r>
        <w:rPr>
          <w:rFonts w:ascii="Times New Roman" w:hAnsi="Times New Roman" w:cs="Times New Roman"/>
          <w:b/>
          <w:sz w:val="24"/>
          <w:szCs w:val="24"/>
        </w:rPr>
        <w:t xml:space="preserve">Certain </w:t>
      </w:r>
      <w:r w:rsidR="00CB49E0" w:rsidRPr="00A558B6">
        <w:rPr>
          <w:rFonts w:ascii="Times New Roman" w:hAnsi="Times New Roman" w:cs="Times New Roman"/>
          <w:b/>
          <w:sz w:val="24"/>
          <w:szCs w:val="24"/>
        </w:rPr>
        <w:t>Closely-Held Business Interests:</w:t>
      </w:r>
      <w:r w:rsidR="00CB49E0">
        <w:rPr>
          <w:rFonts w:ascii="Times New Roman" w:hAnsi="Times New Roman" w:cs="Times New Roman"/>
          <w:sz w:val="24"/>
          <w:szCs w:val="24"/>
        </w:rPr>
        <w:t xml:space="preserve">  </w:t>
      </w:r>
      <w:r>
        <w:rPr>
          <w:rFonts w:ascii="Times New Roman" w:hAnsi="Times New Roman" w:cs="Times New Roman"/>
          <w:sz w:val="24"/>
          <w:szCs w:val="24"/>
        </w:rPr>
        <w:t>Many clients create</w:t>
      </w:r>
      <w:r w:rsidR="00CB49E0">
        <w:rPr>
          <w:rFonts w:ascii="Times New Roman" w:hAnsi="Times New Roman" w:cs="Times New Roman"/>
          <w:sz w:val="24"/>
          <w:szCs w:val="24"/>
        </w:rPr>
        <w:t xml:space="preserve"> Limited Liability Companies or Family Limited Partnerships to hold and manage real estate and/or marketable securities</w:t>
      </w:r>
      <w:r>
        <w:rPr>
          <w:rFonts w:ascii="Times New Roman" w:hAnsi="Times New Roman" w:cs="Times New Roman"/>
          <w:sz w:val="24"/>
          <w:szCs w:val="24"/>
        </w:rPr>
        <w:t>.  As part of their estate planning</w:t>
      </w:r>
      <w:r w:rsidR="00CB49E0">
        <w:rPr>
          <w:rFonts w:ascii="Times New Roman" w:hAnsi="Times New Roman" w:cs="Times New Roman"/>
          <w:sz w:val="24"/>
          <w:szCs w:val="24"/>
        </w:rPr>
        <w:t xml:space="preserve">, </w:t>
      </w:r>
      <w:r>
        <w:rPr>
          <w:rFonts w:ascii="Times New Roman" w:hAnsi="Times New Roman" w:cs="Times New Roman"/>
          <w:sz w:val="24"/>
          <w:szCs w:val="24"/>
        </w:rPr>
        <w:t xml:space="preserve">clients often gift </w:t>
      </w:r>
      <w:r w:rsidR="00CB49E0">
        <w:rPr>
          <w:rFonts w:ascii="Times New Roman" w:hAnsi="Times New Roman" w:cs="Times New Roman"/>
          <w:sz w:val="24"/>
          <w:szCs w:val="24"/>
        </w:rPr>
        <w:t xml:space="preserve">ownership interests in </w:t>
      </w:r>
      <w:r>
        <w:rPr>
          <w:rFonts w:ascii="Times New Roman" w:hAnsi="Times New Roman" w:cs="Times New Roman"/>
          <w:sz w:val="24"/>
          <w:szCs w:val="24"/>
        </w:rPr>
        <w:t>these entities</w:t>
      </w:r>
      <w:r w:rsidR="00CB49E0">
        <w:rPr>
          <w:rFonts w:ascii="Times New Roman" w:hAnsi="Times New Roman" w:cs="Times New Roman"/>
          <w:sz w:val="24"/>
          <w:szCs w:val="24"/>
        </w:rPr>
        <w:t xml:space="preserve"> to family members at </w:t>
      </w:r>
      <w:r w:rsidR="007C1A95">
        <w:rPr>
          <w:rFonts w:ascii="Times New Roman" w:hAnsi="Times New Roman" w:cs="Times New Roman"/>
          <w:sz w:val="24"/>
          <w:szCs w:val="24"/>
        </w:rPr>
        <w:t xml:space="preserve">discounted gift tax values </w:t>
      </w:r>
      <w:r w:rsidR="00CB49E0">
        <w:rPr>
          <w:rFonts w:ascii="Times New Roman" w:hAnsi="Times New Roman" w:cs="Times New Roman"/>
          <w:sz w:val="24"/>
          <w:szCs w:val="24"/>
        </w:rPr>
        <w:t xml:space="preserve">which would not </w:t>
      </w:r>
      <w:r>
        <w:rPr>
          <w:rFonts w:ascii="Times New Roman" w:hAnsi="Times New Roman" w:cs="Times New Roman"/>
          <w:sz w:val="24"/>
          <w:szCs w:val="24"/>
        </w:rPr>
        <w:t xml:space="preserve">otherwise </w:t>
      </w:r>
      <w:r w:rsidR="00CB49E0">
        <w:rPr>
          <w:rFonts w:ascii="Times New Roman" w:hAnsi="Times New Roman" w:cs="Times New Roman"/>
          <w:sz w:val="24"/>
          <w:szCs w:val="24"/>
        </w:rPr>
        <w:t xml:space="preserve">apply if the assets were gifted outside </w:t>
      </w:r>
      <w:r>
        <w:rPr>
          <w:rFonts w:ascii="Times New Roman" w:hAnsi="Times New Roman" w:cs="Times New Roman"/>
          <w:sz w:val="24"/>
          <w:szCs w:val="24"/>
        </w:rPr>
        <w:t xml:space="preserve">of </w:t>
      </w:r>
      <w:r w:rsidR="00CB49E0">
        <w:rPr>
          <w:rFonts w:ascii="Times New Roman" w:hAnsi="Times New Roman" w:cs="Times New Roman"/>
          <w:sz w:val="24"/>
          <w:szCs w:val="24"/>
        </w:rPr>
        <w:t>such entit</w:t>
      </w:r>
      <w:r>
        <w:rPr>
          <w:rFonts w:ascii="Times New Roman" w:hAnsi="Times New Roman" w:cs="Times New Roman"/>
          <w:sz w:val="24"/>
          <w:szCs w:val="24"/>
        </w:rPr>
        <w:t>ies</w:t>
      </w:r>
      <w:r w:rsidR="00CB49E0">
        <w:rPr>
          <w:rFonts w:ascii="Times New Roman" w:hAnsi="Times New Roman" w:cs="Times New Roman"/>
          <w:sz w:val="24"/>
          <w:szCs w:val="24"/>
        </w:rPr>
        <w:t>.  Each of the Biden Proposal, the Sanders Proposal and the House Proposal includes provisions which</w:t>
      </w:r>
      <w:r w:rsidR="00CB49E0" w:rsidRPr="00742207">
        <w:rPr>
          <w:rFonts w:ascii="Times New Roman" w:hAnsi="Times New Roman" w:cs="Times New Roman"/>
          <w:sz w:val="24"/>
          <w:szCs w:val="24"/>
        </w:rPr>
        <w:t xml:space="preserve"> reduce or </w:t>
      </w:r>
      <w:r>
        <w:rPr>
          <w:rFonts w:ascii="Times New Roman" w:hAnsi="Times New Roman" w:cs="Times New Roman"/>
          <w:sz w:val="24"/>
          <w:szCs w:val="24"/>
        </w:rPr>
        <w:t>eliminate</w:t>
      </w:r>
      <w:r w:rsidRPr="00742207">
        <w:rPr>
          <w:rFonts w:ascii="Times New Roman" w:hAnsi="Times New Roman" w:cs="Times New Roman"/>
          <w:sz w:val="24"/>
          <w:szCs w:val="24"/>
        </w:rPr>
        <w:t xml:space="preserve"> </w:t>
      </w:r>
      <w:r w:rsidR="00CB49E0" w:rsidRPr="00742207">
        <w:rPr>
          <w:rFonts w:ascii="Times New Roman" w:hAnsi="Times New Roman" w:cs="Times New Roman"/>
          <w:sz w:val="24"/>
          <w:szCs w:val="24"/>
        </w:rPr>
        <w:t xml:space="preserve">lack of </w:t>
      </w:r>
      <w:r w:rsidR="00CB49E0">
        <w:rPr>
          <w:rFonts w:ascii="Times New Roman" w:hAnsi="Times New Roman" w:cs="Times New Roman"/>
          <w:sz w:val="24"/>
          <w:szCs w:val="24"/>
        </w:rPr>
        <w:t xml:space="preserve">control and lack of </w:t>
      </w:r>
      <w:r w:rsidR="00CB49E0" w:rsidRPr="00742207">
        <w:rPr>
          <w:rFonts w:ascii="Times New Roman" w:hAnsi="Times New Roman" w:cs="Times New Roman"/>
          <w:sz w:val="24"/>
          <w:szCs w:val="24"/>
        </w:rPr>
        <w:t xml:space="preserve">marketability </w:t>
      </w:r>
      <w:r w:rsidR="00CB49E0">
        <w:rPr>
          <w:rFonts w:ascii="Times New Roman" w:hAnsi="Times New Roman" w:cs="Times New Roman"/>
          <w:sz w:val="24"/>
          <w:szCs w:val="24"/>
        </w:rPr>
        <w:t xml:space="preserve">discounts </w:t>
      </w:r>
      <w:r w:rsidR="00CB49E0" w:rsidRPr="00742207">
        <w:rPr>
          <w:rFonts w:ascii="Times New Roman" w:hAnsi="Times New Roman" w:cs="Times New Roman"/>
          <w:sz w:val="24"/>
          <w:szCs w:val="24"/>
        </w:rPr>
        <w:t xml:space="preserve">for </w:t>
      </w:r>
      <w:r w:rsidR="00CB49E0">
        <w:rPr>
          <w:rFonts w:ascii="Times New Roman" w:hAnsi="Times New Roman" w:cs="Times New Roman"/>
          <w:sz w:val="24"/>
          <w:szCs w:val="24"/>
        </w:rPr>
        <w:t xml:space="preserve">these types of </w:t>
      </w:r>
      <w:r w:rsidR="00CB49E0" w:rsidRPr="00742207">
        <w:rPr>
          <w:rFonts w:ascii="Times New Roman" w:hAnsi="Times New Roman" w:cs="Times New Roman"/>
          <w:sz w:val="24"/>
          <w:szCs w:val="24"/>
        </w:rPr>
        <w:t>family-owned business</w:t>
      </w:r>
      <w:r w:rsidR="00CB49E0">
        <w:rPr>
          <w:rFonts w:ascii="Times New Roman" w:hAnsi="Times New Roman" w:cs="Times New Roman"/>
          <w:sz w:val="24"/>
          <w:szCs w:val="24"/>
        </w:rPr>
        <w:t>es, with the House Proposal specifically targeting entities which own assets that are not used in the conduct of an active trade or business</w:t>
      </w:r>
      <w:r w:rsidR="00CB49E0" w:rsidRPr="00742207">
        <w:rPr>
          <w:rFonts w:ascii="Times New Roman" w:hAnsi="Times New Roman" w:cs="Times New Roman"/>
          <w:sz w:val="24"/>
          <w:szCs w:val="24"/>
        </w:rPr>
        <w:t>.</w:t>
      </w:r>
    </w:p>
    <w:p w14:paraId="22DB7952" w14:textId="77777777" w:rsidR="00CB49E0" w:rsidRDefault="00CB49E0" w:rsidP="00742207">
      <w:pPr>
        <w:pStyle w:val="PlainText"/>
        <w:rPr>
          <w:rFonts w:ascii="Times New Roman" w:hAnsi="Times New Roman" w:cs="Times New Roman"/>
          <w:b/>
          <w:sz w:val="24"/>
          <w:szCs w:val="24"/>
        </w:rPr>
      </w:pPr>
    </w:p>
    <w:p w14:paraId="1DC31F5A" w14:textId="3E96180C" w:rsidR="00742207" w:rsidRDefault="00824667" w:rsidP="00742207">
      <w:pPr>
        <w:pStyle w:val="PlainText"/>
        <w:rPr>
          <w:rFonts w:ascii="Times New Roman" w:hAnsi="Times New Roman" w:cs="Times New Roman"/>
          <w:sz w:val="24"/>
          <w:szCs w:val="24"/>
        </w:rPr>
      </w:pPr>
      <w:r>
        <w:rPr>
          <w:rFonts w:ascii="Times New Roman" w:hAnsi="Times New Roman" w:cs="Times New Roman"/>
          <w:b/>
          <w:sz w:val="24"/>
          <w:szCs w:val="24"/>
        </w:rPr>
        <w:t xml:space="preserve">Elimination of </w:t>
      </w:r>
      <w:r w:rsidR="00742207" w:rsidRPr="00742207">
        <w:rPr>
          <w:rFonts w:ascii="Times New Roman" w:hAnsi="Times New Roman" w:cs="Times New Roman"/>
          <w:b/>
          <w:sz w:val="24"/>
          <w:szCs w:val="24"/>
        </w:rPr>
        <w:t>“Step-Up” in Basis</w:t>
      </w:r>
      <w:r w:rsidR="00BF0760">
        <w:rPr>
          <w:rFonts w:ascii="Times New Roman" w:hAnsi="Times New Roman" w:cs="Times New Roman"/>
          <w:b/>
          <w:sz w:val="24"/>
          <w:szCs w:val="24"/>
        </w:rPr>
        <w:t xml:space="preserve"> and </w:t>
      </w:r>
      <w:r w:rsidR="006644CD">
        <w:rPr>
          <w:rFonts w:ascii="Times New Roman" w:hAnsi="Times New Roman" w:cs="Times New Roman"/>
          <w:b/>
          <w:sz w:val="24"/>
          <w:szCs w:val="24"/>
        </w:rPr>
        <w:t xml:space="preserve">New </w:t>
      </w:r>
      <w:r w:rsidR="00BF0760">
        <w:rPr>
          <w:rFonts w:ascii="Times New Roman" w:hAnsi="Times New Roman" w:cs="Times New Roman"/>
          <w:b/>
          <w:sz w:val="24"/>
          <w:szCs w:val="24"/>
        </w:rPr>
        <w:t>Triggers of Gain</w:t>
      </w:r>
      <w:r w:rsidR="00742207" w:rsidRPr="00742207">
        <w:rPr>
          <w:rFonts w:ascii="Times New Roman" w:hAnsi="Times New Roman" w:cs="Times New Roman"/>
          <w:b/>
          <w:sz w:val="24"/>
          <w:szCs w:val="24"/>
        </w:rPr>
        <w:t>:</w:t>
      </w:r>
      <w:r w:rsidR="00742207" w:rsidRPr="00742207">
        <w:rPr>
          <w:rFonts w:ascii="Times New Roman" w:hAnsi="Times New Roman" w:cs="Times New Roman"/>
          <w:sz w:val="24"/>
          <w:szCs w:val="24"/>
        </w:rPr>
        <w:t xml:space="preserve">  </w:t>
      </w:r>
      <w:r w:rsidR="00E071A6">
        <w:rPr>
          <w:rFonts w:ascii="Times New Roman" w:hAnsi="Times New Roman" w:cs="Times New Roman"/>
          <w:sz w:val="24"/>
          <w:szCs w:val="24"/>
        </w:rPr>
        <w:t>Under current law</w:t>
      </w:r>
      <w:r w:rsidR="006644CD">
        <w:rPr>
          <w:rFonts w:ascii="Times New Roman" w:hAnsi="Times New Roman" w:cs="Times New Roman"/>
          <w:sz w:val="24"/>
          <w:szCs w:val="24"/>
        </w:rPr>
        <w:t>,</w:t>
      </w:r>
      <w:r w:rsidR="00E071A6">
        <w:rPr>
          <w:rFonts w:ascii="Times New Roman" w:hAnsi="Times New Roman" w:cs="Times New Roman"/>
          <w:sz w:val="24"/>
          <w:szCs w:val="24"/>
        </w:rPr>
        <w:t xml:space="preserve"> assets owned by a decedent at death receive a “stepped up” or</w:t>
      </w:r>
      <w:r w:rsidR="00C22DDD">
        <w:rPr>
          <w:rFonts w:ascii="Times New Roman" w:hAnsi="Times New Roman" w:cs="Times New Roman"/>
          <w:sz w:val="24"/>
          <w:szCs w:val="24"/>
        </w:rPr>
        <w:t xml:space="preserve"> new</w:t>
      </w:r>
      <w:r w:rsidR="00E071A6">
        <w:rPr>
          <w:rFonts w:ascii="Times New Roman" w:hAnsi="Times New Roman" w:cs="Times New Roman"/>
          <w:sz w:val="24"/>
          <w:szCs w:val="24"/>
        </w:rPr>
        <w:t xml:space="preserve"> basis for capital gains tax purposes equal to the assets’ value on the date of death.  </w:t>
      </w:r>
      <w:r w:rsidR="00F30B9B">
        <w:rPr>
          <w:rFonts w:ascii="Times New Roman" w:hAnsi="Times New Roman" w:cs="Times New Roman"/>
          <w:sz w:val="24"/>
          <w:szCs w:val="24"/>
        </w:rPr>
        <w:t xml:space="preserve">While the House Proposal does not </w:t>
      </w:r>
      <w:r w:rsidR="009F35FE">
        <w:rPr>
          <w:rFonts w:ascii="Times New Roman" w:hAnsi="Times New Roman" w:cs="Times New Roman"/>
          <w:sz w:val="24"/>
          <w:szCs w:val="24"/>
        </w:rPr>
        <w:t>change</w:t>
      </w:r>
      <w:r w:rsidR="00F30B9B">
        <w:rPr>
          <w:rFonts w:ascii="Times New Roman" w:hAnsi="Times New Roman" w:cs="Times New Roman"/>
          <w:sz w:val="24"/>
          <w:szCs w:val="24"/>
        </w:rPr>
        <w:t xml:space="preserve"> the step-up in basis provisions of the tax law, the </w:t>
      </w:r>
      <w:r>
        <w:rPr>
          <w:rFonts w:ascii="Times New Roman" w:hAnsi="Times New Roman" w:cs="Times New Roman"/>
          <w:sz w:val="24"/>
          <w:szCs w:val="24"/>
        </w:rPr>
        <w:t xml:space="preserve">Biden and Sanders </w:t>
      </w:r>
      <w:r w:rsidR="00883CDD">
        <w:rPr>
          <w:rFonts w:ascii="Times New Roman" w:hAnsi="Times New Roman" w:cs="Times New Roman"/>
          <w:sz w:val="24"/>
          <w:szCs w:val="24"/>
        </w:rPr>
        <w:t xml:space="preserve">proposals </w:t>
      </w:r>
      <w:r>
        <w:rPr>
          <w:rFonts w:ascii="Times New Roman" w:hAnsi="Times New Roman" w:cs="Times New Roman"/>
          <w:sz w:val="24"/>
          <w:szCs w:val="24"/>
        </w:rPr>
        <w:t xml:space="preserve">would </w:t>
      </w:r>
      <w:r w:rsidR="00883CDD">
        <w:rPr>
          <w:rFonts w:ascii="Times New Roman" w:hAnsi="Times New Roman" w:cs="Times New Roman"/>
          <w:sz w:val="24"/>
          <w:szCs w:val="24"/>
        </w:rPr>
        <w:t>eliminat</w:t>
      </w:r>
      <w:r>
        <w:rPr>
          <w:rFonts w:ascii="Times New Roman" w:hAnsi="Times New Roman" w:cs="Times New Roman"/>
          <w:sz w:val="24"/>
          <w:szCs w:val="24"/>
        </w:rPr>
        <w:t>e</w:t>
      </w:r>
      <w:r w:rsidR="00883CDD">
        <w:rPr>
          <w:rFonts w:ascii="Times New Roman" w:hAnsi="Times New Roman" w:cs="Times New Roman"/>
          <w:sz w:val="24"/>
          <w:szCs w:val="24"/>
        </w:rPr>
        <w:t xml:space="preserve"> </w:t>
      </w:r>
      <w:r w:rsidR="00AA78E7">
        <w:rPr>
          <w:rFonts w:ascii="Times New Roman" w:hAnsi="Times New Roman" w:cs="Times New Roman"/>
          <w:sz w:val="24"/>
          <w:szCs w:val="24"/>
        </w:rPr>
        <w:t xml:space="preserve">this </w:t>
      </w:r>
      <w:r w:rsidR="00742207" w:rsidRPr="00742207">
        <w:rPr>
          <w:rFonts w:ascii="Times New Roman" w:hAnsi="Times New Roman" w:cs="Times New Roman"/>
          <w:sz w:val="24"/>
          <w:szCs w:val="24"/>
        </w:rPr>
        <w:t>step-up in basis of a decedent’s assets at death</w:t>
      </w:r>
      <w:r w:rsidR="00AA78E7">
        <w:rPr>
          <w:rFonts w:ascii="Times New Roman" w:hAnsi="Times New Roman" w:cs="Times New Roman"/>
          <w:sz w:val="24"/>
          <w:szCs w:val="24"/>
        </w:rPr>
        <w:t>.  In addition</w:t>
      </w:r>
      <w:r w:rsidR="006644CD">
        <w:rPr>
          <w:rFonts w:ascii="Times New Roman" w:hAnsi="Times New Roman" w:cs="Times New Roman"/>
          <w:sz w:val="24"/>
          <w:szCs w:val="24"/>
        </w:rPr>
        <w:t>,</w:t>
      </w:r>
      <w:r w:rsidR="00AA78E7">
        <w:rPr>
          <w:rFonts w:ascii="Times New Roman" w:hAnsi="Times New Roman" w:cs="Times New Roman"/>
          <w:sz w:val="24"/>
          <w:szCs w:val="24"/>
        </w:rPr>
        <w:t xml:space="preserve"> both proposals go further,</w:t>
      </w:r>
      <w:r w:rsidR="00883CDD">
        <w:rPr>
          <w:rFonts w:ascii="Times New Roman" w:hAnsi="Times New Roman" w:cs="Times New Roman"/>
          <w:sz w:val="24"/>
          <w:szCs w:val="24"/>
        </w:rPr>
        <w:t xml:space="preserve"> requiring gain to be recognized </w:t>
      </w:r>
      <w:r w:rsidR="006C2BAF">
        <w:rPr>
          <w:rFonts w:ascii="Times New Roman" w:hAnsi="Times New Roman" w:cs="Times New Roman"/>
          <w:sz w:val="24"/>
          <w:szCs w:val="24"/>
        </w:rPr>
        <w:t>for capital gains tax purposes</w:t>
      </w:r>
      <w:r w:rsidR="00883CDD">
        <w:rPr>
          <w:rFonts w:ascii="Times New Roman" w:hAnsi="Times New Roman" w:cs="Times New Roman"/>
          <w:sz w:val="24"/>
          <w:szCs w:val="24"/>
        </w:rPr>
        <w:t xml:space="preserve"> at death.</w:t>
      </w:r>
      <w:r w:rsidR="00742207" w:rsidRPr="00742207">
        <w:rPr>
          <w:rFonts w:ascii="Times New Roman" w:hAnsi="Times New Roman" w:cs="Times New Roman"/>
          <w:sz w:val="24"/>
          <w:szCs w:val="24"/>
        </w:rPr>
        <w:t xml:space="preserve"> </w:t>
      </w:r>
      <w:r w:rsidR="00883CDD">
        <w:rPr>
          <w:rFonts w:ascii="Times New Roman" w:hAnsi="Times New Roman" w:cs="Times New Roman"/>
          <w:sz w:val="24"/>
          <w:szCs w:val="24"/>
        </w:rPr>
        <w:t xml:space="preserve"> If adopted</w:t>
      </w:r>
      <w:r w:rsidR="00AA78E7">
        <w:rPr>
          <w:rFonts w:ascii="Times New Roman" w:hAnsi="Times New Roman" w:cs="Times New Roman"/>
          <w:sz w:val="24"/>
          <w:szCs w:val="24"/>
        </w:rPr>
        <w:t>,</w:t>
      </w:r>
      <w:r w:rsidR="00883CDD">
        <w:rPr>
          <w:rFonts w:ascii="Times New Roman" w:hAnsi="Times New Roman" w:cs="Times New Roman"/>
          <w:sz w:val="24"/>
          <w:szCs w:val="24"/>
        </w:rPr>
        <w:t xml:space="preserve"> </w:t>
      </w:r>
      <w:r w:rsidR="00AA78E7">
        <w:rPr>
          <w:rFonts w:ascii="Times New Roman" w:hAnsi="Times New Roman" w:cs="Times New Roman"/>
          <w:sz w:val="24"/>
          <w:szCs w:val="24"/>
        </w:rPr>
        <w:t xml:space="preserve">these changes </w:t>
      </w:r>
      <w:r w:rsidR="00883CDD">
        <w:rPr>
          <w:rFonts w:ascii="Times New Roman" w:hAnsi="Times New Roman" w:cs="Times New Roman"/>
          <w:sz w:val="24"/>
          <w:szCs w:val="24"/>
        </w:rPr>
        <w:t>would have a major impact on planning</w:t>
      </w:r>
      <w:r w:rsidR="00B807C2">
        <w:rPr>
          <w:rFonts w:ascii="Times New Roman" w:hAnsi="Times New Roman" w:cs="Times New Roman"/>
          <w:sz w:val="24"/>
          <w:szCs w:val="24"/>
        </w:rPr>
        <w:t xml:space="preserve">.  Many people </w:t>
      </w:r>
      <w:r w:rsidR="00883CDD">
        <w:rPr>
          <w:rFonts w:ascii="Times New Roman" w:hAnsi="Times New Roman" w:cs="Times New Roman"/>
          <w:sz w:val="24"/>
          <w:szCs w:val="24"/>
        </w:rPr>
        <w:t>often hold low basis assets</w:t>
      </w:r>
      <w:r w:rsidR="00B807C2">
        <w:rPr>
          <w:rFonts w:ascii="Times New Roman" w:hAnsi="Times New Roman" w:cs="Times New Roman"/>
          <w:sz w:val="24"/>
          <w:szCs w:val="24"/>
        </w:rPr>
        <w:t xml:space="preserve"> until death</w:t>
      </w:r>
      <w:r w:rsidR="00883CDD">
        <w:rPr>
          <w:rFonts w:ascii="Times New Roman" w:hAnsi="Times New Roman" w:cs="Times New Roman"/>
          <w:sz w:val="24"/>
          <w:szCs w:val="24"/>
        </w:rPr>
        <w:t>, even whe</w:t>
      </w:r>
      <w:r w:rsidR="000E5380">
        <w:rPr>
          <w:rFonts w:ascii="Times New Roman" w:hAnsi="Times New Roman" w:cs="Times New Roman"/>
          <w:sz w:val="24"/>
          <w:szCs w:val="24"/>
        </w:rPr>
        <w:t>n</w:t>
      </w:r>
      <w:r w:rsidR="00883CDD">
        <w:rPr>
          <w:rFonts w:ascii="Times New Roman" w:hAnsi="Times New Roman" w:cs="Times New Roman"/>
          <w:sz w:val="24"/>
          <w:szCs w:val="24"/>
        </w:rPr>
        <w:t xml:space="preserve"> they have a concentrated position of stock</w:t>
      </w:r>
      <w:r w:rsidR="00BA3180">
        <w:rPr>
          <w:rFonts w:ascii="Times New Roman" w:hAnsi="Times New Roman" w:cs="Times New Roman"/>
          <w:sz w:val="24"/>
          <w:szCs w:val="24"/>
        </w:rPr>
        <w:t>, in order</w:t>
      </w:r>
      <w:r w:rsidR="00883CDD">
        <w:rPr>
          <w:rFonts w:ascii="Times New Roman" w:hAnsi="Times New Roman" w:cs="Times New Roman"/>
          <w:sz w:val="24"/>
          <w:szCs w:val="24"/>
        </w:rPr>
        <w:t xml:space="preserve"> to reduce the capital gains tax consequences upon sale </w:t>
      </w:r>
      <w:r w:rsidR="006F3C57">
        <w:rPr>
          <w:rFonts w:ascii="Times New Roman" w:hAnsi="Times New Roman" w:cs="Times New Roman"/>
          <w:sz w:val="24"/>
          <w:szCs w:val="24"/>
        </w:rPr>
        <w:t xml:space="preserve">by obtaining </w:t>
      </w:r>
      <w:r w:rsidR="00883CDD">
        <w:rPr>
          <w:rFonts w:ascii="Times New Roman" w:hAnsi="Times New Roman" w:cs="Times New Roman"/>
          <w:sz w:val="24"/>
          <w:szCs w:val="24"/>
        </w:rPr>
        <w:t>a step-up in basis</w:t>
      </w:r>
      <w:r w:rsidR="001078D6">
        <w:rPr>
          <w:rFonts w:ascii="Times New Roman" w:hAnsi="Times New Roman" w:cs="Times New Roman"/>
          <w:sz w:val="24"/>
          <w:szCs w:val="24"/>
        </w:rPr>
        <w:t xml:space="preserve"> at death</w:t>
      </w:r>
      <w:r w:rsidR="00883CDD">
        <w:rPr>
          <w:rFonts w:ascii="Times New Roman" w:hAnsi="Times New Roman" w:cs="Times New Roman"/>
          <w:sz w:val="24"/>
          <w:szCs w:val="24"/>
        </w:rPr>
        <w:t xml:space="preserve">.  With regard to gifting, </w:t>
      </w:r>
      <w:r w:rsidR="00742207" w:rsidRPr="00742207">
        <w:rPr>
          <w:rFonts w:ascii="Times New Roman" w:hAnsi="Times New Roman" w:cs="Times New Roman"/>
          <w:sz w:val="24"/>
          <w:szCs w:val="24"/>
        </w:rPr>
        <w:t xml:space="preserve">capital gains </w:t>
      </w:r>
      <w:r w:rsidR="00883CDD">
        <w:rPr>
          <w:rFonts w:ascii="Times New Roman" w:hAnsi="Times New Roman" w:cs="Times New Roman"/>
          <w:sz w:val="24"/>
          <w:szCs w:val="24"/>
        </w:rPr>
        <w:t xml:space="preserve">would also be triggered </w:t>
      </w:r>
      <w:r w:rsidR="00742207" w:rsidRPr="00742207">
        <w:rPr>
          <w:rFonts w:ascii="Times New Roman" w:hAnsi="Times New Roman" w:cs="Times New Roman"/>
          <w:sz w:val="24"/>
          <w:szCs w:val="24"/>
        </w:rPr>
        <w:t xml:space="preserve">upon a transfer by gift of appreciated assets.  </w:t>
      </w:r>
      <w:r w:rsidR="00883CDD">
        <w:rPr>
          <w:rFonts w:ascii="Times New Roman" w:hAnsi="Times New Roman" w:cs="Times New Roman"/>
          <w:sz w:val="24"/>
          <w:szCs w:val="24"/>
        </w:rPr>
        <w:t>Under</w:t>
      </w:r>
      <w:r w:rsidR="00742207" w:rsidRPr="00742207">
        <w:rPr>
          <w:rFonts w:ascii="Times New Roman" w:hAnsi="Times New Roman" w:cs="Times New Roman"/>
          <w:sz w:val="24"/>
          <w:szCs w:val="24"/>
        </w:rPr>
        <w:t xml:space="preserve"> </w:t>
      </w:r>
      <w:r w:rsidR="00AF5F1C">
        <w:rPr>
          <w:rFonts w:ascii="Times New Roman" w:hAnsi="Times New Roman" w:cs="Times New Roman"/>
          <w:sz w:val="24"/>
          <w:szCs w:val="24"/>
        </w:rPr>
        <w:t xml:space="preserve">the </w:t>
      </w:r>
      <w:r w:rsidR="00742207" w:rsidRPr="00742207">
        <w:rPr>
          <w:rFonts w:ascii="Times New Roman" w:hAnsi="Times New Roman" w:cs="Times New Roman"/>
          <w:sz w:val="24"/>
          <w:szCs w:val="24"/>
        </w:rPr>
        <w:t xml:space="preserve">Biden Proposal, a gift of appreciated property </w:t>
      </w:r>
      <w:r w:rsidR="000E5380" w:rsidRPr="00742207">
        <w:rPr>
          <w:rFonts w:ascii="Times New Roman" w:hAnsi="Times New Roman" w:cs="Times New Roman"/>
          <w:sz w:val="24"/>
          <w:szCs w:val="24"/>
        </w:rPr>
        <w:t>(excluding gifts to charity or a spouse)</w:t>
      </w:r>
      <w:r w:rsidR="000E5380">
        <w:rPr>
          <w:rFonts w:ascii="Times New Roman" w:hAnsi="Times New Roman" w:cs="Times New Roman"/>
          <w:sz w:val="24"/>
          <w:szCs w:val="24"/>
        </w:rPr>
        <w:t xml:space="preserve"> </w:t>
      </w:r>
      <w:r w:rsidR="00BA3180">
        <w:rPr>
          <w:rFonts w:ascii="Times New Roman" w:hAnsi="Times New Roman" w:cs="Times New Roman"/>
          <w:sz w:val="24"/>
          <w:szCs w:val="24"/>
        </w:rPr>
        <w:t>would cause</w:t>
      </w:r>
      <w:r w:rsidR="00742207" w:rsidRPr="00742207">
        <w:rPr>
          <w:rFonts w:ascii="Times New Roman" w:hAnsi="Times New Roman" w:cs="Times New Roman"/>
          <w:sz w:val="24"/>
          <w:szCs w:val="24"/>
        </w:rPr>
        <w:t xml:space="preserve"> gain to be </w:t>
      </w:r>
      <w:r w:rsidR="00AA479E">
        <w:rPr>
          <w:rFonts w:ascii="Times New Roman" w:hAnsi="Times New Roman" w:cs="Times New Roman"/>
          <w:sz w:val="24"/>
          <w:szCs w:val="24"/>
        </w:rPr>
        <w:t>recognized</w:t>
      </w:r>
      <w:r w:rsidR="00AA479E" w:rsidRPr="00742207">
        <w:rPr>
          <w:rFonts w:ascii="Times New Roman" w:hAnsi="Times New Roman" w:cs="Times New Roman"/>
          <w:sz w:val="24"/>
          <w:szCs w:val="24"/>
        </w:rPr>
        <w:t xml:space="preserve"> </w:t>
      </w:r>
      <w:r w:rsidR="00742207" w:rsidRPr="00742207">
        <w:rPr>
          <w:rFonts w:ascii="Times New Roman" w:hAnsi="Times New Roman" w:cs="Times New Roman"/>
          <w:sz w:val="24"/>
          <w:szCs w:val="24"/>
        </w:rPr>
        <w:t>immediately, subject to a $1,000,000 lifetime exclusion.</w:t>
      </w:r>
      <w:r w:rsidR="00BA3180">
        <w:rPr>
          <w:rFonts w:ascii="Times New Roman" w:hAnsi="Times New Roman" w:cs="Times New Roman"/>
          <w:sz w:val="24"/>
          <w:szCs w:val="24"/>
        </w:rPr>
        <w:t xml:space="preserve">  </w:t>
      </w:r>
      <w:r w:rsidR="00BF0760" w:rsidRPr="00742207">
        <w:rPr>
          <w:rFonts w:ascii="Times New Roman" w:hAnsi="Times New Roman" w:cs="Times New Roman"/>
          <w:sz w:val="24"/>
          <w:szCs w:val="24"/>
        </w:rPr>
        <w:t>Transfers of property to and distributions of property from irrevocable trusts would also cause recognition of gain</w:t>
      </w:r>
      <w:r w:rsidR="00AF5F1C">
        <w:rPr>
          <w:rFonts w:ascii="Times New Roman" w:hAnsi="Times New Roman" w:cs="Times New Roman"/>
          <w:sz w:val="24"/>
          <w:szCs w:val="24"/>
        </w:rPr>
        <w:t xml:space="preserve"> under these proposals</w:t>
      </w:r>
      <w:r w:rsidR="00BF0760" w:rsidRPr="00742207">
        <w:rPr>
          <w:rFonts w:ascii="Times New Roman" w:hAnsi="Times New Roman" w:cs="Times New Roman"/>
          <w:sz w:val="24"/>
          <w:szCs w:val="24"/>
        </w:rPr>
        <w:t>.</w:t>
      </w:r>
      <w:r w:rsidR="00B135F8">
        <w:rPr>
          <w:rFonts w:ascii="Times New Roman" w:hAnsi="Times New Roman" w:cs="Times New Roman"/>
          <w:sz w:val="24"/>
          <w:szCs w:val="24"/>
        </w:rPr>
        <w:t xml:space="preserve">  All of these changes to step</w:t>
      </w:r>
      <w:r w:rsidR="006644CD">
        <w:rPr>
          <w:rFonts w:ascii="Times New Roman" w:hAnsi="Times New Roman" w:cs="Times New Roman"/>
          <w:sz w:val="24"/>
          <w:szCs w:val="24"/>
        </w:rPr>
        <w:t>-</w:t>
      </w:r>
      <w:r w:rsidR="00B135F8">
        <w:rPr>
          <w:rFonts w:ascii="Times New Roman" w:hAnsi="Times New Roman" w:cs="Times New Roman"/>
          <w:sz w:val="24"/>
          <w:szCs w:val="24"/>
        </w:rPr>
        <w:t>up and recognition rules for capital gains taxes would be even more significant if capital gains tax rates increase, as discussed below.</w:t>
      </w:r>
    </w:p>
    <w:p w14:paraId="61967604" w14:textId="77777777" w:rsidR="00176E53" w:rsidRDefault="00176E53" w:rsidP="00742207">
      <w:pPr>
        <w:pStyle w:val="PlainText"/>
        <w:rPr>
          <w:rFonts w:ascii="Times New Roman" w:hAnsi="Times New Roman" w:cs="Times New Roman"/>
          <w:sz w:val="24"/>
          <w:szCs w:val="24"/>
        </w:rPr>
      </w:pPr>
    </w:p>
    <w:p w14:paraId="643A6BBD" w14:textId="185F4171" w:rsidR="00176E53" w:rsidRPr="00742207" w:rsidRDefault="00176E53" w:rsidP="00176E53">
      <w:pPr>
        <w:pStyle w:val="PlainText"/>
        <w:rPr>
          <w:rFonts w:ascii="Times New Roman" w:hAnsi="Times New Roman" w:cs="Times New Roman"/>
          <w:sz w:val="24"/>
          <w:szCs w:val="24"/>
        </w:rPr>
      </w:pPr>
      <w:r>
        <w:rPr>
          <w:rFonts w:ascii="Times New Roman" w:hAnsi="Times New Roman" w:cs="Times New Roman"/>
          <w:b/>
          <w:sz w:val="24"/>
          <w:szCs w:val="24"/>
        </w:rPr>
        <w:t xml:space="preserve">Changes in </w:t>
      </w:r>
      <w:r w:rsidR="00BC295D">
        <w:rPr>
          <w:rFonts w:ascii="Times New Roman" w:hAnsi="Times New Roman" w:cs="Times New Roman"/>
          <w:b/>
          <w:sz w:val="24"/>
          <w:szCs w:val="24"/>
        </w:rPr>
        <w:t xml:space="preserve">Income </w:t>
      </w:r>
      <w:r w:rsidR="006C2BAF">
        <w:rPr>
          <w:rFonts w:ascii="Times New Roman" w:hAnsi="Times New Roman" w:cs="Times New Roman"/>
          <w:b/>
          <w:sz w:val="24"/>
          <w:szCs w:val="24"/>
        </w:rPr>
        <w:t xml:space="preserve">and Capital Gains </w:t>
      </w:r>
      <w:r>
        <w:rPr>
          <w:rFonts w:ascii="Times New Roman" w:hAnsi="Times New Roman" w:cs="Times New Roman"/>
          <w:b/>
          <w:sz w:val="24"/>
          <w:szCs w:val="24"/>
        </w:rPr>
        <w:t>Tax Rates</w:t>
      </w:r>
      <w:r w:rsidR="002C406D">
        <w:rPr>
          <w:rFonts w:ascii="Times New Roman" w:hAnsi="Times New Roman" w:cs="Times New Roman"/>
          <w:b/>
          <w:sz w:val="24"/>
          <w:szCs w:val="24"/>
        </w:rPr>
        <w:t>:</w:t>
      </w:r>
      <w:r w:rsidRPr="00742207">
        <w:rPr>
          <w:rFonts w:ascii="Times New Roman" w:hAnsi="Times New Roman" w:cs="Times New Roman"/>
          <w:sz w:val="24"/>
          <w:szCs w:val="24"/>
        </w:rPr>
        <w:t xml:space="preserve">  </w:t>
      </w:r>
      <w:r w:rsidR="00EE5D7B">
        <w:rPr>
          <w:rFonts w:ascii="Times New Roman" w:hAnsi="Times New Roman" w:cs="Times New Roman"/>
          <w:sz w:val="24"/>
          <w:szCs w:val="24"/>
        </w:rPr>
        <w:t xml:space="preserve">The </w:t>
      </w:r>
      <w:r w:rsidR="002C406D" w:rsidRPr="00742207">
        <w:rPr>
          <w:rFonts w:ascii="Times New Roman" w:hAnsi="Times New Roman" w:cs="Times New Roman"/>
          <w:sz w:val="24"/>
          <w:szCs w:val="24"/>
        </w:rPr>
        <w:t xml:space="preserve">Biden Proposal includes increasing the long-term capital gains tax rate and qualified dividends income tax rate </w:t>
      </w:r>
      <w:r w:rsidR="00EE5D7B">
        <w:rPr>
          <w:rFonts w:ascii="Times New Roman" w:hAnsi="Times New Roman" w:cs="Times New Roman"/>
          <w:sz w:val="24"/>
          <w:szCs w:val="24"/>
        </w:rPr>
        <w:t xml:space="preserve">from 20% </w:t>
      </w:r>
      <w:r w:rsidR="002C406D" w:rsidRPr="00742207">
        <w:rPr>
          <w:rFonts w:ascii="Times New Roman" w:hAnsi="Times New Roman" w:cs="Times New Roman"/>
          <w:sz w:val="24"/>
          <w:szCs w:val="24"/>
        </w:rPr>
        <w:t xml:space="preserve">to 39.6% (plus </w:t>
      </w:r>
      <w:r w:rsidR="00EE5D7B">
        <w:rPr>
          <w:rFonts w:ascii="Times New Roman" w:hAnsi="Times New Roman" w:cs="Times New Roman"/>
          <w:sz w:val="24"/>
          <w:szCs w:val="24"/>
        </w:rPr>
        <w:t xml:space="preserve">the </w:t>
      </w:r>
      <w:r w:rsidR="002C406D" w:rsidRPr="00742207">
        <w:rPr>
          <w:rFonts w:ascii="Times New Roman" w:hAnsi="Times New Roman" w:cs="Times New Roman"/>
          <w:sz w:val="24"/>
          <w:szCs w:val="24"/>
        </w:rPr>
        <w:t xml:space="preserve">3.8% net investment income tax) </w:t>
      </w:r>
      <w:r w:rsidR="00607B7A">
        <w:rPr>
          <w:rFonts w:ascii="Times New Roman" w:hAnsi="Times New Roman" w:cs="Times New Roman"/>
          <w:sz w:val="24"/>
          <w:szCs w:val="24"/>
        </w:rPr>
        <w:t xml:space="preserve">for individuals whose annual </w:t>
      </w:r>
      <w:r w:rsidR="002C406D" w:rsidRPr="00742207">
        <w:rPr>
          <w:rFonts w:ascii="Times New Roman" w:hAnsi="Times New Roman" w:cs="Times New Roman"/>
          <w:sz w:val="24"/>
          <w:szCs w:val="24"/>
        </w:rPr>
        <w:t>income exceeds $1,000,000</w:t>
      </w:r>
      <w:r w:rsidR="002C406D">
        <w:rPr>
          <w:rFonts w:ascii="Times New Roman" w:hAnsi="Times New Roman" w:cs="Times New Roman"/>
          <w:sz w:val="24"/>
          <w:szCs w:val="24"/>
        </w:rPr>
        <w:t>.</w:t>
      </w:r>
      <w:r w:rsidR="002C406D" w:rsidRPr="00742207">
        <w:rPr>
          <w:rFonts w:ascii="Times New Roman" w:hAnsi="Times New Roman" w:cs="Times New Roman"/>
          <w:sz w:val="24"/>
          <w:szCs w:val="24"/>
        </w:rPr>
        <w:t xml:space="preserve"> </w:t>
      </w:r>
      <w:r w:rsidR="00BF0760">
        <w:rPr>
          <w:rFonts w:ascii="Times New Roman" w:hAnsi="Times New Roman" w:cs="Times New Roman"/>
          <w:sz w:val="24"/>
          <w:szCs w:val="24"/>
        </w:rPr>
        <w:t xml:space="preserve"> </w:t>
      </w:r>
      <w:r w:rsidR="00AC6917">
        <w:rPr>
          <w:rFonts w:ascii="Times New Roman" w:hAnsi="Times New Roman" w:cs="Times New Roman"/>
          <w:sz w:val="24"/>
          <w:szCs w:val="24"/>
        </w:rPr>
        <w:lastRenderedPageBreak/>
        <w:t>T</w:t>
      </w:r>
      <w:r w:rsidR="008B55F4">
        <w:rPr>
          <w:rFonts w:ascii="Times New Roman" w:hAnsi="Times New Roman" w:cs="Times New Roman"/>
          <w:sz w:val="24"/>
          <w:szCs w:val="24"/>
        </w:rPr>
        <w:t xml:space="preserve">he </w:t>
      </w:r>
      <w:r w:rsidR="00BF0760" w:rsidRPr="00742207">
        <w:rPr>
          <w:rFonts w:ascii="Times New Roman" w:hAnsi="Times New Roman" w:cs="Times New Roman"/>
          <w:sz w:val="24"/>
          <w:szCs w:val="24"/>
        </w:rPr>
        <w:t xml:space="preserve">Biden Proposal </w:t>
      </w:r>
      <w:r w:rsidR="00AC6917">
        <w:rPr>
          <w:rFonts w:ascii="Times New Roman" w:hAnsi="Times New Roman" w:cs="Times New Roman"/>
          <w:sz w:val="24"/>
          <w:szCs w:val="24"/>
        </w:rPr>
        <w:t xml:space="preserve">also </w:t>
      </w:r>
      <w:r w:rsidR="00BF0760" w:rsidRPr="00742207">
        <w:rPr>
          <w:rFonts w:ascii="Times New Roman" w:hAnsi="Times New Roman" w:cs="Times New Roman"/>
          <w:sz w:val="24"/>
          <w:szCs w:val="24"/>
        </w:rPr>
        <w:t>includes taxing carried interests as ordinary income (</w:t>
      </w:r>
      <w:r w:rsidR="00AA479E">
        <w:rPr>
          <w:rFonts w:ascii="Times New Roman" w:hAnsi="Times New Roman" w:cs="Times New Roman"/>
          <w:sz w:val="24"/>
          <w:szCs w:val="24"/>
        </w:rPr>
        <w:t>if</w:t>
      </w:r>
      <w:r w:rsidR="00AA479E" w:rsidRPr="00742207">
        <w:rPr>
          <w:rFonts w:ascii="Times New Roman" w:hAnsi="Times New Roman" w:cs="Times New Roman"/>
          <w:sz w:val="24"/>
          <w:szCs w:val="24"/>
        </w:rPr>
        <w:t xml:space="preserve"> </w:t>
      </w:r>
      <w:r w:rsidR="008B55F4">
        <w:rPr>
          <w:rFonts w:ascii="Times New Roman" w:hAnsi="Times New Roman" w:cs="Times New Roman"/>
          <w:sz w:val="24"/>
          <w:szCs w:val="24"/>
        </w:rPr>
        <w:t xml:space="preserve">the taxpayer’s </w:t>
      </w:r>
      <w:r w:rsidR="00BF0760" w:rsidRPr="00742207">
        <w:rPr>
          <w:rFonts w:ascii="Times New Roman" w:hAnsi="Times New Roman" w:cs="Times New Roman"/>
          <w:sz w:val="24"/>
          <w:szCs w:val="24"/>
        </w:rPr>
        <w:t>taxable income exceeds $400,000)</w:t>
      </w:r>
      <w:r w:rsidR="00BF0760">
        <w:rPr>
          <w:rFonts w:ascii="Times New Roman" w:hAnsi="Times New Roman" w:cs="Times New Roman"/>
          <w:sz w:val="24"/>
          <w:szCs w:val="24"/>
        </w:rPr>
        <w:t xml:space="preserve">. </w:t>
      </w:r>
      <w:r w:rsidR="00BF0760" w:rsidRPr="00742207">
        <w:rPr>
          <w:rFonts w:ascii="Times New Roman" w:hAnsi="Times New Roman" w:cs="Times New Roman"/>
          <w:sz w:val="24"/>
          <w:szCs w:val="24"/>
        </w:rPr>
        <w:t xml:space="preserve"> </w:t>
      </w:r>
      <w:r w:rsidR="009F35FE">
        <w:rPr>
          <w:rFonts w:ascii="Times New Roman" w:hAnsi="Times New Roman" w:cs="Times New Roman"/>
          <w:sz w:val="24"/>
          <w:szCs w:val="24"/>
        </w:rPr>
        <w:t>The House Proposal</w:t>
      </w:r>
      <w:r w:rsidR="008A66C6">
        <w:rPr>
          <w:rFonts w:ascii="Times New Roman" w:hAnsi="Times New Roman" w:cs="Times New Roman"/>
          <w:sz w:val="24"/>
          <w:szCs w:val="24"/>
        </w:rPr>
        <w:t xml:space="preserve"> </w:t>
      </w:r>
      <w:r w:rsidR="009F35FE">
        <w:rPr>
          <w:rFonts w:ascii="Times New Roman" w:hAnsi="Times New Roman" w:cs="Times New Roman"/>
          <w:sz w:val="24"/>
          <w:szCs w:val="24"/>
        </w:rPr>
        <w:t xml:space="preserve">increases the top individual income tax rate from 37% to the </w:t>
      </w:r>
      <w:r w:rsidR="00922F09">
        <w:rPr>
          <w:rFonts w:ascii="Times New Roman" w:hAnsi="Times New Roman" w:cs="Times New Roman"/>
          <w:sz w:val="24"/>
          <w:szCs w:val="24"/>
        </w:rPr>
        <w:t>pre-2018</w:t>
      </w:r>
      <w:r w:rsidR="009F35FE">
        <w:rPr>
          <w:rFonts w:ascii="Times New Roman" w:hAnsi="Times New Roman" w:cs="Times New Roman"/>
          <w:sz w:val="24"/>
          <w:szCs w:val="24"/>
        </w:rPr>
        <w:t xml:space="preserve"> Tax Act rate of 39.6% while </w:t>
      </w:r>
      <w:r w:rsidR="00167597">
        <w:rPr>
          <w:rFonts w:ascii="Times New Roman" w:hAnsi="Times New Roman" w:cs="Times New Roman"/>
          <w:sz w:val="24"/>
          <w:szCs w:val="24"/>
        </w:rPr>
        <w:t xml:space="preserve">reducing the income level at which such rate would apply to (i) $450,000 for married </w:t>
      </w:r>
      <w:r w:rsidR="00665A4A">
        <w:rPr>
          <w:rFonts w:ascii="Times New Roman" w:hAnsi="Times New Roman" w:cs="Times New Roman"/>
          <w:sz w:val="24"/>
          <w:szCs w:val="24"/>
        </w:rPr>
        <w:t>couples</w:t>
      </w:r>
      <w:r w:rsidR="00167597">
        <w:rPr>
          <w:rFonts w:ascii="Times New Roman" w:hAnsi="Times New Roman" w:cs="Times New Roman"/>
          <w:sz w:val="24"/>
          <w:szCs w:val="24"/>
        </w:rPr>
        <w:t>, (ii) $425,000 for head</w:t>
      </w:r>
      <w:r w:rsidR="00AA479E">
        <w:rPr>
          <w:rFonts w:ascii="Times New Roman" w:hAnsi="Times New Roman" w:cs="Times New Roman"/>
          <w:sz w:val="24"/>
          <w:szCs w:val="24"/>
        </w:rPr>
        <w:t>s</w:t>
      </w:r>
      <w:r w:rsidR="00167597">
        <w:rPr>
          <w:rFonts w:ascii="Times New Roman" w:hAnsi="Times New Roman" w:cs="Times New Roman"/>
          <w:sz w:val="24"/>
          <w:szCs w:val="24"/>
        </w:rPr>
        <w:t xml:space="preserve"> of household</w:t>
      </w:r>
      <w:r w:rsidR="00AA479E">
        <w:rPr>
          <w:rFonts w:ascii="Times New Roman" w:hAnsi="Times New Roman" w:cs="Times New Roman"/>
          <w:sz w:val="24"/>
          <w:szCs w:val="24"/>
        </w:rPr>
        <w:t>s</w:t>
      </w:r>
      <w:r w:rsidR="00167597">
        <w:rPr>
          <w:rFonts w:ascii="Times New Roman" w:hAnsi="Times New Roman" w:cs="Times New Roman"/>
          <w:sz w:val="24"/>
          <w:szCs w:val="24"/>
        </w:rPr>
        <w:t xml:space="preserve">, (iii) $400,000 for unmarried individuals and (iv) $12,500 for trusts and estates.  </w:t>
      </w:r>
      <w:r w:rsidR="00D65766">
        <w:rPr>
          <w:rFonts w:ascii="Times New Roman" w:hAnsi="Times New Roman" w:cs="Times New Roman"/>
          <w:sz w:val="24"/>
          <w:szCs w:val="24"/>
        </w:rPr>
        <w:t>The</w:t>
      </w:r>
      <w:r w:rsidR="00167597">
        <w:rPr>
          <w:rFonts w:ascii="Times New Roman" w:hAnsi="Times New Roman" w:cs="Times New Roman"/>
          <w:sz w:val="24"/>
          <w:szCs w:val="24"/>
        </w:rPr>
        <w:t xml:space="preserve"> House Proposal </w:t>
      </w:r>
      <w:r w:rsidR="00D65766">
        <w:rPr>
          <w:rFonts w:ascii="Times New Roman" w:hAnsi="Times New Roman" w:cs="Times New Roman"/>
          <w:sz w:val="24"/>
          <w:szCs w:val="24"/>
        </w:rPr>
        <w:t xml:space="preserve">also </w:t>
      </w:r>
      <w:r w:rsidR="00167597">
        <w:rPr>
          <w:rFonts w:ascii="Times New Roman" w:hAnsi="Times New Roman" w:cs="Times New Roman"/>
          <w:sz w:val="24"/>
          <w:szCs w:val="24"/>
        </w:rPr>
        <w:t>includes</w:t>
      </w:r>
      <w:r w:rsidR="008A66C6">
        <w:rPr>
          <w:rFonts w:ascii="Times New Roman" w:hAnsi="Times New Roman" w:cs="Times New Roman"/>
          <w:sz w:val="24"/>
          <w:szCs w:val="24"/>
        </w:rPr>
        <w:t xml:space="preserve"> a new surcharge of 3% on</w:t>
      </w:r>
      <w:r w:rsidR="00167597">
        <w:rPr>
          <w:rFonts w:ascii="Times New Roman" w:hAnsi="Times New Roman" w:cs="Times New Roman"/>
          <w:sz w:val="24"/>
          <w:szCs w:val="24"/>
        </w:rPr>
        <w:t xml:space="preserve"> gross income less </w:t>
      </w:r>
      <w:r w:rsidR="00F63DFF">
        <w:rPr>
          <w:rFonts w:ascii="Times New Roman" w:hAnsi="Times New Roman" w:cs="Times New Roman"/>
          <w:sz w:val="24"/>
          <w:szCs w:val="24"/>
        </w:rPr>
        <w:t>certain adjustments</w:t>
      </w:r>
      <w:r w:rsidR="008A414E">
        <w:rPr>
          <w:rFonts w:ascii="Times New Roman" w:hAnsi="Times New Roman" w:cs="Times New Roman"/>
          <w:sz w:val="24"/>
          <w:szCs w:val="24"/>
        </w:rPr>
        <w:t>,</w:t>
      </w:r>
      <w:r w:rsidR="00F63DFF">
        <w:rPr>
          <w:rFonts w:ascii="Times New Roman" w:hAnsi="Times New Roman" w:cs="Times New Roman"/>
          <w:sz w:val="24"/>
          <w:szCs w:val="24"/>
        </w:rPr>
        <w:t xml:space="preserve"> such as retirement contributions </w:t>
      </w:r>
      <w:r w:rsidR="008A414E">
        <w:rPr>
          <w:rFonts w:ascii="Times New Roman" w:hAnsi="Times New Roman" w:cs="Times New Roman"/>
          <w:sz w:val="24"/>
          <w:szCs w:val="24"/>
        </w:rPr>
        <w:t xml:space="preserve">and </w:t>
      </w:r>
      <w:r w:rsidR="00F63DFF">
        <w:rPr>
          <w:rFonts w:ascii="Times New Roman" w:hAnsi="Times New Roman" w:cs="Times New Roman"/>
          <w:sz w:val="24"/>
          <w:szCs w:val="24"/>
        </w:rPr>
        <w:t>certain investment expenses</w:t>
      </w:r>
      <w:r w:rsidR="008A414E">
        <w:rPr>
          <w:rFonts w:ascii="Times New Roman" w:hAnsi="Times New Roman" w:cs="Times New Roman"/>
          <w:sz w:val="24"/>
          <w:szCs w:val="24"/>
        </w:rPr>
        <w:t>,</w:t>
      </w:r>
      <w:r w:rsidR="00F63DFF">
        <w:rPr>
          <w:rFonts w:ascii="Times New Roman" w:hAnsi="Times New Roman" w:cs="Times New Roman"/>
          <w:sz w:val="24"/>
          <w:szCs w:val="24"/>
        </w:rPr>
        <w:t xml:space="preserve"> </w:t>
      </w:r>
      <w:r w:rsidR="009F35FE">
        <w:rPr>
          <w:rFonts w:ascii="Times New Roman" w:hAnsi="Times New Roman" w:cs="Times New Roman"/>
          <w:sz w:val="24"/>
          <w:szCs w:val="24"/>
        </w:rPr>
        <w:t xml:space="preserve">of </w:t>
      </w:r>
      <w:r w:rsidR="008A66C6">
        <w:rPr>
          <w:rFonts w:ascii="Times New Roman" w:hAnsi="Times New Roman" w:cs="Times New Roman"/>
          <w:sz w:val="24"/>
          <w:szCs w:val="24"/>
        </w:rPr>
        <w:t xml:space="preserve">high income individuals </w:t>
      </w:r>
      <w:r w:rsidR="00BC0A36">
        <w:rPr>
          <w:rFonts w:ascii="Times New Roman" w:hAnsi="Times New Roman" w:cs="Times New Roman"/>
          <w:sz w:val="24"/>
          <w:szCs w:val="24"/>
        </w:rPr>
        <w:t xml:space="preserve">with </w:t>
      </w:r>
      <w:r w:rsidR="00F63DFF">
        <w:rPr>
          <w:rFonts w:ascii="Times New Roman" w:hAnsi="Times New Roman" w:cs="Times New Roman"/>
          <w:sz w:val="24"/>
          <w:szCs w:val="24"/>
        </w:rPr>
        <w:t>adjusted income</w:t>
      </w:r>
      <w:r w:rsidR="008A66C6">
        <w:rPr>
          <w:rFonts w:ascii="Times New Roman" w:hAnsi="Times New Roman" w:cs="Times New Roman"/>
          <w:sz w:val="24"/>
          <w:szCs w:val="24"/>
        </w:rPr>
        <w:t xml:space="preserve"> in excess </w:t>
      </w:r>
      <w:r w:rsidR="00AB3F30">
        <w:rPr>
          <w:rFonts w:ascii="Times New Roman" w:hAnsi="Times New Roman" w:cs="Times New Roman"/>
          <w:sz w:val="24"/>
          <w:szCs w:val="24"/>
        </w:rPr>
        <w:t xml:space="preserve">of </w:t>
      </w:r>
      <w:r w:rsidR="008A66C6">
        <w:rPr>
          <w:rFonts w:ascii="Times New Roman" w:hAnsi="Times New Roman" w:cs="Times New Roman"/>
          <w:sz w:val="24"/>
          <w:szCs w:val="24"/>
        </w:rPr>
        <w:t xml:space="preserve">$5,000,000 and trusts and estates </w:t>
      </w:r>
      <w:r w:rsidR="00BC0A36">
        <w:rPr>
          <w:rFonts w:ascii="Times New Roman" w:hAnsi="Times New Roman" w:cs="Times New Roman"/>
          <w:sz w:val="24"/>
          <w:szCs w:val="24"/>
        </w:rPr>
        <w:t xml:space="preserve">with </w:t>
      </w:r>
      <w:r w:rsidR="00F63DFF">
        <w:rPr>
          <w:rFonts w:ascii="Times New Roman" w:hAnsi="Times New Roman" w:cs="Times New Roman"/>
          <w:sz w:val="24"/>
          <w:szCs w:val="24"/>
        </w:rPr>
        <w:t>adjusted income</w:t>
      </w:r>
      <w:r w:rsidR="009F35FE">
        <w:rPr>
          <w:rFonts w:ascii="Times New Roman" w:hAnsi="Times New Roman" w:cs="Times New Roman"/>
          <w:sz w:val="24"/>
          <w:szCs w:val="24"/>
        </w:rPr>
        <w:t xml:space="preserve"> in excess of $100,000</w:t>
      </w:r>
      <w:r w:rsidR="00BC0A36">
        <w:rPr>
          <w:rFonts w:ascii="Times New Roman" w:hAnsi="Times New Roman" w:cs="Times New Roman"/>
          <w:sz w:val="24"/>
          <w:szCs w:val="24"/>
        </w:rPr>
        <w:t xml:space="preserve">.  In addition, </w:t>
      </w:r>
      <w:r w:rsidR="00D65766">
        <w:rPr>
          <w:rFonts w:ascii="Times New Roman" w:hAnsi="Times New Roman" w:cs="Times New Roman"/>
          <w:sz w:val="24"/>
          <w:szCs w:val="24"/>
        </w:rPr>
        <w:t xml:space="preserve">effective </w:t>
      </w:r>
      <w:r w:rsidR="00BD029C">
        <w:rPr>
          <w:rFonts w:ascii="Times New Roman" w:hAnsi="Times New Roman" w:cs="Times New Roman"/>
          <w:sz w:val="24"/>
          <w:szCs w:val="24"/>
        </w:rPr>
        <w:t xml:space="preserve">as of September 13, 2021, </w:t>
      </w:r>
      <w:r w:rsidR="00BC0A36">
        <w:rPr>
          <w:rFonts w:ascii="Times New Roman" w:hAnsi="Times New Roman" w:cs="Times New Roman"/>
          <w:sz w:val="24"/>
          <w:szCs w:val="24"/>
        </w:rPr>
        <w:t xml:space="preserve">the House Proposal </w:t>
      </w:r>
      <w:r w:rsidR="00BD029C">
        <w:rPr>
          <w:rFonts w:ascii="Times New Roman" w:hAnsi="Times New Roman" w:cs="Times New Roman"/>
          <w:sz w:val="24"/>
          <w:szCs w:val="24"/>
        </w:rPr>
        <w:t xml:space="preserve">increases the top capital gains tax rate to 25% </w:t>
      </w:r>
      <w:r w:rsidR="00BD029C" w:rsidRPr="00742207">
        <w:rPr>
          <w:rFonts w:ascii="Times New Roman" w:hAnsi="Times New Roman" w:cs="Times New Roman"/>
          <w:sz w:val="24"/>
          <w:szCs w:val="24"/>
        </w:rPr>
        <w:t xml:space="preserve">(plus </w:t>
      </w:r>
      <w:r w:rsidR="00BD029C">
        <w:rPr>
          <w:rFonts w:ascii="Times New Roman" w:hAnsi="Times New Roman" w:cs="Times New Roman"/>
          <w:sz w:val="24"/>
          <w:szCs w:val="24"/>
        </w:rPr>
        <w:t xml:space="preserve">the </w:t>
      </w:r>
      <w:r w:rsidR="00BD029C" w:rsidRPr="00742207">
        <w:rPr>
          <w:rFonts w:ascii="Times New Roman" w:hAnsi="Times New Roman" w:cs="Times New Roman"/>
          <w:sz w:val="24"/>
          <w:szCs w:val="24"/>
        </w:rPr>
        <w:t>3.8% net investment income tax</w:t>
      </w:r>
      <w:r w:rsidR="002D15DF">
        <w:rPr>
          <w:rFonts w:ascii="Times New Roman" w:hAnsi="Times New Roman" w:cs="Times New Roman"/>
          <w:sz w:val="24"/>
          <w:szCs w:val="24"/>
        </w:rPr>
        <w:t xml:space="preserve"> which </w:t>
      </w:r>
      <w:r w:rsidR="002F3690">
        <w:rPr>
          <w:rFonts w:ascii="Times New Roman" w:hAnsi="Times New Roman" w:cs="Times New Roman"/>
          <w:sz w:val="24"/>
          <w:szCs w:val="24"/>
        </w:rPr>
        <w:t>is</w:t>
      </w:r>
      <w:r w:rsidR="002D15DF">
        <w:rPr>
          <w:rFonts w:ascii="Times New Roman" w:hAnsi="Times New Roman" w:cs="Times New Roman"/>
          <w:sz w:val="24"/>
          <w:szCs w:val="24"/>
        </w:rPr>
        <w:t xml:space="preserve"> also expanded </w:t>
      </w:r>
      <w:r w:rsidR="002F3690">
        <w:rPr>
          <w:rFonts w:ascii="Times New Roman" w:hAnsi="Times New Roman" w:cs="Times New Roman"/>
          <w:sz w:val="24"/>
          <w:szCs w:val="24"/>
        </w:rPr>
        <w:t xml:space="preserve">to include income derived in the ordinary course of business </w:t>
      </w:r>
      <w:r w:rsidR="002D15DF">
        <w:rPr>
          <w:rFonts w:ascii="Times New Roman" w:hAnsi="Times New Roman" w:cs="Times New Roman"/>
          <w:sz w:val="24"/>
          <w:szCs w:val="24"/>
        </w:rPr>
        <w:t xml:space="preserve">for high-income </w:t>
      </w:r>
      <w:r w:rsidR="002F3690">
        <w:rPr>
          <w:rFonts w:ascii="Times New Roman" w:hAnsi="Times New Roman" w:cs="Times New Roman"/>
          <w:sz w:val="24"/>
          <w:szCs w:val="24"/>
        </w:rPr>
        <w:t>taxpayers</w:t>
      </w:r>
      <w:r w:rsidR="00BC0A36">
        <w:rPr>
          <w:rFonts w:ascii="Times New Roman" w:hAnsi="Times New Roman" w:cs="Times New Roman"/>
          <w:sz w:val="24"/>
          <w:szCs w:val="24"/>
        </w:rPr>
        <w:t xml:space="preserve"> and distributions from pass-through entities</w:t>
      </w:r>
      <w:r w:rsidR="00BD029C" w:rsidRPr="00742207">
        <w:rPr>
          <w:rFonts w:ascii="Times New Roman" w:hAnsi="Times New Roman" w:cs="Times New Roman"/>
          <w:sz w:val="24"/>
          <w:szCs w:val="24"/>
        </w:rPr>
        <w:t>)</w:t>
      </w:r>
      <w:r w:rsidR="00DC07D2">
        <w:rPr>
          <w:rFonts w:ascii="Times New Roman" w:hAnsi="Times New Roman" w:cs="Times New Roman"/>
          <w:sz w:val="24"/>
          <w:szCs w:val="24"/>
        </w:rPr>
        <w:t>.</w:t>
      </w:r>
      <w:r w:rsidR="00123B98">
        <w:rPr>
          <w:rFonts w:ascii="Times New Roman" w:hAnsi="Times New Roman" w:cs="Times New Roman"/>
          <w:sz w:val="24"/>
          <w:szCs w:val="24"/>
        </w:rPr>
        <w:t xml:space="preserve">  </w:t>
      </w:r>
      <w:r w:rsidR="00DC07D2">
        <w:rPr>
          <w:rFonts w:ascii="Times New Roman" w:hAnsi="Times New Roman" w:cs="Times New Roman"/>
          <w:sz w:val="24"/>
          <w:szCs w:val="24"/>
        </w:rPr>
        <w:t>F</w:t>
      </w:r>
      <w:r w:rsidR="00123B98">
        <w:rPr>
          <w:rFonts w:ascii="Times New Roman" w:hAnsi="Times New Roman" w:cs="Times New Roman"/>
          <w:sz w:val="24"/>
          <w:szCs w:val="24"/>
        </w:rPr>
        <w:t xml:space="preserve">or those individuals who have benefited from </w:t>
      </w:r>
      <w:r w:rsidR="00DC07D2">
        <w:rPr>
          <w:rFonts w:ascii="Times New Roman" w:hAnsi="Times New Roman" w:cs="Times New Roman"/>
          <w:sz w:val="24"/>
          <w:szCs w:val="24"/>
        </w:rPr>
        <w:t>the long-term capital gains tax treatment of carried interests, the House Proposal increases the holding period for long-term capital gains tax treatment from 3 to 5 years.</w:t>
      </w:r>
    </w:p>
    <w:p w14:paraId="30442E44" w14:textId="17E9C813" w:rsidR="00742207" w:rsidRDefault="00742207" w:rsidP="00742207">
      <w:pPr>
        <w:pStyle w:val="PlainText"/>
        <w:rPr>
          <w:rFonts w:ascii="Times New Roman" w:hAnsi="Times New Roman" w:cs="Times New Roman"/>
          <w:sz w:val="24"/>
          <w:szCs w:val="24"/>
        </w:rPr>
      </w:pPr>
    </w:p>
    <w:p w14:paraId="564EF871" w14:textId="3D04793E" w:rsidR="00CB49E0" w:rsidRDefault="00CB49E0" w:rsidP="00CB49E0">
      <w:pPr>
        <w:pStyle w:val="PlainText"/>
        <w:rPr>
          <w:rFonts w:ascii="Times New Roman" w:hAnsi="Times New Roman" w:cs="Times New Roman"/>
          <w:sz w:val="24"/>
          <w:szCs w:val="24"/>
        </w:rPr>
      </w:pPr>
      <w:r w:rsidRPr="00875D62">
        <w:rPr>
          <w:rFonts w:ascii="Times New Roman" w:hAnsi="Times New Roman" w:cs="Times New Roman"/>
          <w:b/>
          <w:sz w:val="24"/>
          <w:szCs w:val="24"/>
        </w:rPr>
        <w:t>Effective dates:</w:t>
      </w:r>
      <w:r w:rsidRPr="00742207">
        <w:rPr>
          <w:rFonts w:ascii="Times New Roman" w:hAnsi="Times New Roman" w:cs="Times New Roman"/>
          <w:sz w:val="24"/>
          <w:szCs w:val="24"/>
        </w:rPr>
        <w:t xml:space="preserve">  </w:t>
      </w:r>
      <w:r>
        <w:rPr>
          <w:rFonts w:ascii="Times New Roman" w:hAnsi="Times New Roman" w:cs="Times New Roman"/>
          <w:sz w:val="24"/>
          <w:szCs w:val="24"/>
        </w:rPr>
        <w:t xml:space="preserve">Of course, the million dollar question is when these proposals, if adopted as law, would apply.  </w:t>
      </w:r>
      <w:r w:rsidRPr="00742207">
        <w:rPr>
          <w:rFonts w:ascii="Times New Roman" w:hAnsi="Times New Roman" w:cs="Times New Roman"/>
          <w:sz w:val="24"/>
          <w:szCs w:val="24"/>
        </w:rPr>
        <w:t>The Sanders Proposal is not retroactive and would be effective January 1, 2022</w:t>
      </w:r>
      <w:r>
        <w:rPr>
          <w:rFonts w:ascii="Times New Roman" w:hAnsi="Times New Roman" w:cs="Times New Roman"/>
          <w:sz w:val="24"/>
          <w:szCs w:val="24"/>
        </w:rPr>
        <w:t>.</w:t>
      </w:r>
      <w:r w:rsidRPr="00742207">
        <w:rPr>
          <w:rFonts w:ascii="Times New Roman" w:hAnsi="Times New Roman" w:cs="Times New Roman"/>
          <w:sz w:val="24"/>
          <w:szCs w:val="24"/>
        </w:rPr>
        <w:t xml:space="preserve"> The STEP Act has a proposed retroactive effective date of January 1, 2021</w:t>
      </w:r>
      <w:r>
        <w:rPr>
          <w:rFonts w:ascii="Times New Roman" w:hAnsi="Times New Roman" w:cs="Times New Roman"/>
          <w:sz w:val="24"/>
          <w:szCs w:val="24"/>
        </w:rPr>
        <w:t>. T</w:t>
      </w:r>
      <w:r w:rsidRPr="00742207">
        <w:rPr>
          <w:rFonts w:ascii="Times New Roman" w:hAnsi="Times New Roman" w:cs="Times New Roman"/>
          <w:sz w:val="24"/>
          <w:szCs w:val="24"/>
        </w:rPr>
        <w:t xml:space="preserve">he most impactful provisions of </w:t>
      </w:r>
      <w:r>
        <w:rPr>
          <w:rFonts w:ascii="Times New Roman" w:hAnsi="Times New Roman" w:cs="Times New Roman"/>
          <w:sz w:val="24"/>
          <w:szCs w:val="24"/>
        </w:rPr>
        <w:t xml:space="preserve">the </w:t>
      </w:r>
      <w:r w:rsidRPr="00742207">
        <w:rPr>
          <w:rFonts w:ascii="Times New Roman" w:hAnsi="Times New Roman" w:cs="Times New Roman"/>
          <w:sz w:val="24"/>
          <w:szCs w:val="24"/>
        </w:rPr>
        <w:t>Biden Proposal would be effective January 1, 2022</w:t>
      </w:r>
      <w:r>
        <w:rPr>
          <w:rFonts w:ascii="Times New Roman" w:hAnsi="Times New Roman" w:cs="Times New Roman"/>
          <w:sz w:val="24"/>
          <w:szCs w:val="24"/>
        </w:rPr>
        <w:t>, though the increase in the capital gains tax rate is proposed as retroactive to April 28, 2021</w:t>
      </w:r>
      <w:r w:rsidRPr="00742207">
        <w:rPr>
          <w:rFonts w:ascii="Times New Roman" w:hAnsi="Times New Roman" w:cs="Times New Roman"/>
          <w:sz w:val="24"/>
          <w:szCs w:val="24"/>
        </w:rPr>
        <w:t xml:space="preserve">. </w:t>
      </w:r>
      <w:r>
        <w:rPr>
          <w:rFonts w:ascii="Times New Roman" w:hAnsi="Times New Roman" w:cs="Times New Roman"/>
          <w:sz w:val="24"/>
          <w:szCs w:val="24"/>
        </w:rPr>
        <w:t xml:space="preserve"> Under the House Proposal, changes to the estate, gift and GST exemptions have an effective date of December 31, 2021.  Likewise, most changes to the income tax rules </w:t>
      </w:r>
      <w:r w:rsidR="00AA479E">
        <w:rPr>
          <w:rFonts w:ascii="Times New Roman" w:hAnsi="Times New Roman" w:cs="Times New Roman"/>
          <w:sz w:val="24"/>
          <w:szCs w:val="24"/>
        </w:rPr>
        <w:t xml:space="preserve">under the House Proposal </w:t>
      </w:r>
      <w:r>
        <w:rPr>
          <w:rFonts w:ascii="Times New Roman" w:hAnsi="Times New Roman" w:cs="Times New Roman"/>
          <w:sz w:val="24"/>
          <w:szCs w:val="24"/>
        </w:rPr>
        <w:t>have a proposed effective date of December 31, 2021 with the following notable exceptions: (1) the increase in the capital gains tax rate has a proposed effective date of September 13, 2021 (the date of introduction</w:t>
      </w:r>
      <w:r w:rsidR="00E36667">
        <w:rPr>
          <w:rFonts w:ascii="Times New Roman" w:hAnsi="Times New Roman" w:cs="Times New Roman"/>
          <w:sz w:val="24"/>
          <w:szCs w:val="24"/>
        </w:rPr>
        <w:t xml:space="preserve"> of the bill</w:t>
      </w:r>
      <w:r>
        <w:rPr>
          <w:rFonts w:ascii="Times New Roman" w:hAnsi="Times New Roman" w:cs="Times New Roman"/>
          <w:sz w:val="24"/>
          <w:szCs w:val="24"/>
        </w:rPr>
        <w:t>)</w:t>
      </w:r>
      <w:r w:rsidR="00184CD8">
        <w:rPr>
          <w:rFonts w:ascii="Times New Roman" w:hAnsi="Times New Roman" w:cs="Times New Roman"/>
          <w:sz w:val="24"/>
          <w:szCs w:val="24"/>
        </w:rPr>
        <w:t>;</w:t>
      </w:r>
      <w:r>
        <w:rPr>
          <w:rFonts w:ascii="Times New Roman" w:hAnsi="Times New Roman" w:cs="Times New Roman"/>
          <w:sz w:val="24"/>
          <w:szCs w:val="24"/>
        </w:rPr>
        <w:t xml:space="preserve"> and (2) the changes to the tax treatment of sales to grantor trusts would be effective on the date of enactment of the law.  In addition, the new gift and estate tax treatment of grantor trusts and the elimination of valuation discounts on the transfer of nonbusiness assets also would be effective on the date of enactment of the law.  </w:t>
      </w:r>
    </w:p>
    <w:p w14:paraId="2E9DF892" w14:textId="77777777" w:rsidR="00CB49E0" w:rsidRDefault="00CB49E0" w:rsidP="00CB49E0">
      <w:pPr>
        <w:pStyle w:val="PlainText"/>
        <w:rPr>
          <w:rFonts w:ascii="Times New Roman" w:hAnsi="Times New Roman" w:cs="Times New Roman"/>
          <w:sz w:val="24"/>
          <w:szCs w:val="24"/>
        </w:rPr>
      </w:pPr>
    </w:p>
    <w:p w14:paraId="1B7B0B3A" w14:textId="4017E7BC" w:rsidR="00123B98" w:rsidRDefault="00CB49E0" w:rsidP="00ED0BB6">
      <w:pPr>
        <w:pStyle w:val="PlainText"/>
        <w:keepNext/>
        <w:rPr>
          <w:rFonts w:ascii="Times New Roman" w:hAnsi="Times New Roman" w:cs="Times New Roman"/>
          <w:sz w:val="24"/>
          <w:szCs w:val="24"/>
        </w:rPr>
      </w:pPr>
      <w:r>
        <w:rPr>
          <w:rFonts w:ascii="Times New Roman" w:hAnsi="Times New Roman" w:cs="Times New Roman"/>
          <w:sz w:val="24"/>
          <w:szCs w:val="24"/>
        </w:rPr>
        <w:t xml:space="preserve">Considering the </w:t>
      </w:r>
      <w:r w:rsidR="00184CD8">
        <w:rPr>
          <w:rFonts w:ascii="Times New Roman" w:hAnsi="Times New Roman" w:cs="Times New Roman"/>
          <w:sz w:val="24"/>
          <w:szCs w:val="24"/>
        </w:rPr>
        <w:t xml:space="preserve">fundamental </w:t>
      </w:r>
      <w:r>
        <w:rPr>
          <w:rFonts w:ascii="Times New Roman" w:hAnsi="Times New Roman" w:cs="Times New Roman"/>
          <w:sz w:val="24"/>
          <w:szCs w:val="24"/>
        </w:rPr>
        <w:t xml:space="preserve">unfairness of a retroactive application of proposed laws, especially this late in the calendar year, many legal </w:t>
      </w:r>
      <w:r w:rsidR="00184CD8">
        <w:rPr>
          <w:rFonts w:ascii="Times New Roman" w:hAnsi="Times New Roman" w:cs="Times New Roman"/>
          <w:sz w:val="24"/>
          <w:szCs w:val="24"/>
        </w:rPr>
        <w:t xml:space="preserve">analysts </w:t>
      </w:r>
      <w:r>
        <w:rPr>
          <w:rFonts w:ascii="Times New Roman" w:hAnsi="Times New Roman" w:cs="Times New Roman"/>
          <w:sz w:val="24"/>
          <w:szCs w:val="24"/>
        </w:rPr>
        <w:t>do not believe any of these proposed laws would apply retroactively to the beginning of 2021</w:t>
      </w:r>
      <w:r w:rsidR="00184CD8">
        <w:rPr>
          <w:rFonts w:ascii="Times New Roman" w:hAnsi="Times New Roman" w:cs="Times New Roman"/>
          <w:sz w:val="24"/>
          <w:szCs w:val="24"/>
        </w:rPr>
        <w:t>.  W</w:t>
      </w:r>
      <w:r>
        <w:rPr>
          <w:rFonts w:ascii="Times New Roman" w:hAnsi="Times New Roman" w:cs="Times New Roman"/>
          <w:sz w:val="24"/>
          <w:szCs w:val="24"/>
        </w:rPr>
        <w:t xml:space="preserve">e agree that there is low risk of such a result.  However, because the laws could go into effect on the date of introduction, the date of enactment, or on January 1, 2022, it is important to consider whether you are comfortable </w:t>
      </w:r>
      <w:r w:rsidR="006C2BAF">
        <w:rPr>
          <w:rFonts w:ascii="Times New Roman" w:hAnsi="Times New Roman" w:cs="Times New Roman"/>
          <w:sz w:val="24"/>
          <w:szCs w:val="24"/>
        </w:rPr>
        <w:t>taking action</w:t>
      </w:r>
      <w:r w:rsidR="00E36667">
        <w:rPr>
          <w:rFonts w:ascii="Times New Roman" w:hAnsi="Times New Roman" w:cs="Times New Roman"/>
          <w:sz w:val="24"/>
          <w:szCs w:val="24"/>
        </w:rPr>
        <w:t xml:space="preserve"> </w:t>
      </w:r>
      <w:r>
        <w:rPr>
          <w:rFonts w:ascii="Times New Roman" w:hAnsi="Times New Roman" w:cs="Times New Roman"/>
          <w:sz w:val="24"/>
          <w:szCs w:val="24"/>
        </w:rPr>
        <w:t xml:space="preserve">to plan around the impact of proposed changes that can be avoided by acting now, despite any risks you take in doing so. </w:t>
      </w:r>
    </w:p>
    <w:p w14:paraId="7D433479" w14:textId="77777777" w:rsidR="0081247C" w:rsidRPr="00C26A54" w:rsidRDefault="0081247C">
      <w:pPr>
        <w:pStyle w:val="PlainText"/>
        <w:rPr>
          <w:rFonts w:ascii="Times New Roman" w:hAnsi="Times New Roman" w:cs="Times New Roman"/>
          <w:sz w:val="24"/>
          <w:szCs w:val="24"/>
        </w:rPr>
      </w:pPr>
    </w:p>
    <w:p w14:paraId="3EC6BDCB" w14:textId="34624D79" w:rsidR="00A82D2C" w:rsidRPr="00A82D2C" w:rsidRDefault="00A82D2C" w:rsidP="00742207">
      <w:pPr>
        <w:pStyle w:val="PlainText"/>
        <w:rPr>
          <w:rFonts w:ascii="Univers 57 Condensed" w:hAnsi="Univers 57 Condensed" w:cs="Times New Roman"/>
          <w:szCs w:val="22"/>
        </w:rPr>
      </w:pPr>
      <w:r w:rsidRPr="00A82D2C">
        <w:rPr>
          <w:rFonts w:ascii="Univers 57 Condensed" w:hAnsi="Univers 57 Condensed" w:cs="Times New Roman"/>
          <w:b/>
          <w:szCs w:val="22"/>
        </w:rPr>
        <w:t>OTHER CONSIDERATIONS RELATING TO GIFTING NOW</w:t>
      </w:r>
    </w:p>
    <w:p w14:paraId="696BE3F1" w14:textId="77777777" w:rsidR="00A82D2C" w:rsidRPr="00A82D2C" w:rsidRDefault="00A82D2C" w:rsidP="00742207">
      <w:pPr>
        <w:pStyle w:val="PlainText"/>
        <w:rPr>
          <w:rFonts w:ascii="Univers 57 Condensed" w:hAnsi="Univers 57 Condensed" w:cs="Times New Roman"/>
          <w:szCs w:val="22"/>
        </w:rPr>
      </w:pPr>
    </w:p>
    <w:p w14:paraId="6B149487" w14:textId="77777777" w:rsidR="00A82D2C" w:rsidRDefault="00A82D2C" w:rsidP="00A82D2C">
      <w:pPr>
        <w:pStyle w:val="BodyText"/>
      </w:pPr>
      <w:r>
        <w:t xml:space="preserve">When making gifting decisions, remember to consider capital gains and state tax implications:  </w:t>
      </w:r>
    </w:p>
    <w:p w14:paraId="0F92E22D" w14:textId="77777777" w:rsidR="00A82D2C" w:rsidRDefault="00A82D2C" w:rsidP="00A82D2C">
      <w:pPr>
        <w:pStyle w:val="BodyText"/>
      </w:pPr>
    </w:p>
    <w:p w14:paraId="10FB97D1" w14:textId="195E3E41" w:rsidR="00A82D2C" w:rsidRDefault="00A82D2C" w:rsidP="00A82D2C">
      <w:pPr>
        <w:pStyle w:val="BodyText"/>
        <w:numPr>
          <w:ilvl w:val="0"/>
          <w:numId w:val="6"/>
        </w:numPr>
      </w:pPr>
      <w:r>
        <w:t xml:space="preserve">Connecticut has a separate state gift tax with an exemption of $7,100,000 in 2021. This means that if a Connecticut resident who has not used </w:t>
      </w:r>
      <w:r w:rsidR="008D7646">
        <w:t xml:space="preserve">any </w:t>
      </w:r>
      <w:r>
        <w:t xml:space="preserve">gift exemption </w:t>
      </w:r>
      <w:r w:rsidR="00AA479E">
        <w:t>previously</w:t>
      </w:r>
      <w:r>
        <w:t xml:space="preserve"> makes a $11,700,000 gift to take full advantage of the federal gift exemption available this year, a Connecticut gift tax of </w:t>
      </w:r>
      <w:r w:rsidRPr="00776967">
        <w:t>$528,000 will be due on the $</w:t>
      </w:r>
      <w:r w:rsidR="00776967" w:rsidRPr="00776967">
        <w:t>4,600</w:t>
      </w:r>
      <w:r w:rsidRPr="00776967">
        <w:t>,000</w:t>
      </w:r>
      <w:r>
        <w:t xml:space="preserve"> difference between the federal and Connecticut exemptions.  </w:t>
      </w:r>
      <w:r w:rsidR="00980DD4">
        <w:t xml:space="preserve">(This exemption increases to </w:t>
      </w:r>
      <w:r w:rsidR="00980DD4">
        <w:lastRenderedPageBreak/>
        <w:t>$9,100,00</w:t>
      </w:r>
      <w:r w:rsidR="006C2BAF">
        <w:t>0</w:t>
      </w:r>
      <w:r w:rsidR="00980DD4">
        <w:t xml:space="preserve"> in 2022.)  </w:t>
      </w:r>
      <w:r>
        <w:t>Note, however, that this tax can be avoided if the gift involves real property or tangible personal property</w:t>
      </w:r>
      <w:r w:rsidR="0076638D">
        <w:t xml:space="preserve"> located out-of-state</w:t>
      </w:r>
      <w:r>
        <w:t xml:space="preserve">, </w:t>
      </w:r>
      <w:r w:rsidR="001924C5">
        <w:t>as</w:t>
      </w:r>
      <w:r w:rsidR="00064DA3">
        <w:t xml:space="preserve"> such</w:t>
      </w:r>
      <w:r>
        <w:t xml:space="preserve"> property located outside of Connecticut </w:t>
      </w:r>
      <w:r w:rsidR="001924C5">
        <w:t xml:space="preserve">is </w:t>
      </w:r>
      <w:r>
        <w:t>not subject to Connecticut gift tax.  Conversely, gifts by non-residents of real property and tangible personal property located in Connecticut are subject to Connecticut’s state gift tax.</w:t>
      </w:r>
    </w:p>
    <w:p w14:paraId="1EFBDAA2" w14:textId="77777777" w:rsidR="00A82D2C" w:rsidRDefault="00A82D2C" w:rsidP="00A82D2C">
      <w:pPr>
        <w:pStyle w:val="BodyText"/>
        <w:numPr>
          <w:ilvl w:val="0"/>
          <w:numId w:val="6"/>
        </w:numPr>
      </w:pPr>
      <w:r>
        <w:t xml:space="preserve">New York </w:t>
      </w:r>
      <w:r w:rsidR="001924C5">
        <w:t xml:space="preserve">does not have a </w:t>
      </w:r>
      <w:r>
        <w:t xml:space="preserve">gift tax but </w:t>
      </w:r>
      <w:r w:rsidR="001924C5">
        <w:t xml:space="preserve">does have </w:t>
      </w:r>
      <w:r>
        <w:t>an estate tax with an exemption of  $5,</w:t>
      </w:r>
      <w:r w:rsidR="00776967">
        <w:t>93</w:t>
      </w:r>
      <w:r>
        <w:t>0,000</w:t>
      </w:r>
      <w:r w:rsidR="001924C5">
        <w:t xml:space="preserve"> in 2021</w:t>
      </w:r>
      <w:r>
        <w:t xml:space="preserve">.  This means a New York resident who has not used any gift exemption in the past can gift up to $11,700,000 during 2021 and pay no federal or New York gift tax, while the same </w:t>
      </w:r>
      <w:r w:rsidR="00776967">
        <w:t>transfer</w:t>
      </w:r>
      <w:r>
        <w:t xml:space="preserve"> at death would incur a $</w:t>
      </w:r>
      <w:r w:rsidRPr="00DA7180">
        <w:rPr>
          <w:color w:val="000000" w:themeColor="text1"/>
        </w:rPr>
        <w:t>1,3</w:t>
      </w:r>
      <w:r w:rsidR="00DA7180" w:rsidRPr="00DA7180">
        <w:rPr>
          <w:color w:val="000000" w:themeColor="text1"/>
        </w:rPr>
        <w:t>38,800</w:t>
      </w:r>
      <w:r w:rsidRPr="00DA7180">
        <w:rPr>
          <w:color w:val="000000" w:themeColor="text1"/>
        </w:rPr>
        <w:t xml:space="preserve"> </w:t>
      </w:r>
      <w:r>
        <w:t>New York estate tax.  (Note, however, that gifts made within three years of death are brought back into a New York resident’s estate for purposes of calculating New York estate taxes.)</w:t>
      </w:r>
    </w:p>
    <w:p w14:paraId="3EFF4B0C" w14:textId="77777777" w:rsidR="00A82D2C" w:rsidRDefault="00A82D2C" w:rsidP="00A82D2C">
      <w:pPr>
        <w:pStyle w:val="BodyText"/>
        <w:numPr>
          <w:ilvl w:val="0"/>
          <w:numId w:val="6"/>
        </w:numPr>
      </w:pPr>
      <w:r>
        <w:t>Florida has no separate state gift or estate tax.</w:t>
      </w:r>
    </w:p>
    <w:p w14:paraId="62EEEF29" w14:textId="0BC710BB" w:rsidR="00A82D2C" w:rsidRDefault="00DE3F65" w:rsidP="00A82D2C">
      <w:pPr>
        <w:pStyle w:val="BodyText"/>
        <w:numPr>
          <w:ilvl w:val="0"/>
          <w:numId w:val="6"/>
        </w:numPr>
      </w:pPr>
      <w:r>
        <w:t xml:space="preserve">Under current law, gifting </w:t>
      </w:r>
      <w:r w:rsidR="00A82D2C">
        <w:t>can result in a trade-off of capital gains tax savings for estate and gift tax savings</w:t>
      </w:r>
      <w:r w:rsidR="00AD37C4">
        <w:t xml:space="preserve"> </w:t>
      </w:r>
      <w:r w:rsidR="001411A0">
        <w:t xml:space="preserve">because </w:t>
      </w:r>
      <w:r w:rsidR="00AD37C4">
        <w:t xml:space="preserve">gifted assets retain the </w:t>
      </w:r>
      <w:r w:rsidR="00B71494">
        <w:t>donor’s cost basis</w:t>
      </w:r>
      <w:r w:rsidR="00A82D2C">
        <w:t>.</w:t>
      </w:r>
    </w:p>
    <w:p w14:paraId="0359F601" w14:textId="77777777" w:rsidR="00A82D2C" w:rsidRDefault="00A82D2C" w:rsidP="00A82D2C">
      <w:pPr>
        <w:pStyle w:val="BodyText"/>
      </w:pPr>
    </w:p>
    <w:p w14:paraId="2D3F2C60" w14:textId="77777777" w:rsidR="00A82D2C" w:rsidRDefault="00A82D2C" w:rsidP="00A82D2C">
      <w:pPr>
        <w:pStyle w:val="ASubhead"/>
        <w:spacing w:line="240" w:lineRule="exact"/>
      </w:pPr>
      <w:r>
        <w:t xml:space="preserve">who SHOULD CONSIDER giftING </w:t>
      </w:r>
      <w:r w:rsidR="00260566">
        <w:t>BEFORE THE END OF</w:t>
      </w:r>
      <w:r>
        <w:t xml:space="preserve"> 2021?</w:t>
      </w:r>
    </w:p>
    <w:p w14:paraId="6B963890" w14:textId="77777777" w:rsidR="00A82D2C" w:rsidRPr="00E21B76" w:rsidRDefault="00A82D2C" w:rsidP="00A82D2C">
      <w:pPr>
        <w:pStyle w:val="BodyText"/>
        <w:rPr>
          <w:rFonts w:ascii="Arial" w:hAnsi="Arial" w:cs="Arial"/>
          <w:sz w:val="18"/>
        </w:rPr>
      </w:pPr>
    </w:p>
    <w:p w14:paraId="7D04D668" w14:textId="77777777" w:rsidR="00A82D2C" w:rsidRDefault="00A82D2C" w:rsidP="00A82D2C">
      <w:pPr>
        <w:numPr>
          <w:ilvl w:val="0"/>
          <w:numId w:val="6"/>
        </w:numPr>
      </w:pPr>
      <w:r>
        <w:t>Clients who are certain they will never need the gifted assets and can maintain financial independence without those assets and the income they may generate.</w:t>
      </w:r>
    </w:p>
    <w:p w14:paraId="3DA25BC7" w14:textId="77777777" w:rsidR="00A82D2C" w:rsidRDefault="00A82D2C" w:rsidP="00A82D2C">
      <w:pPr>
        <w:numPr>
          <w:ilvl w:val="0"/>
          <w:numId w:val="6"/>
        </w:numPr>
      </w:pPr>
      <w:r>
        <w:t xml:space="preserve">Clients who </w:t>
      </w:r>
      <w:r w:rsidR="001924C5">
        <w:t xml:space="preserve">believe </w:t>
      </w:r>
      <w:r>
        <w:t>the property they gift will appreciate in value before death.</w:t>
      </w:r>
    </w:p>
    <w:p w14:paraId="18A7AED9" w14:textId="60356882" w:rsidR="00A82D2C" w:rsidRDefault="00A82D2C" w:rsidP="00A82D2C">
      <w:pPr>
        <w:numPr>
          <w:ilvl w:val="0"/>
          <w:numId w:val="6"/>
        </w:numPr>
      </w:pPr>
      <w:r>
        <w:t xml:space="preserve">Clients who are willing to proceed on their belief that federal tax exemptions </w:t>
      </w:r>
      <w:r w:rsidR="001924C5">
        <w:t xml:space="preserve">soon </w:t>
      </w:r>
      <w:r>
        <w:t>will be reduced below the current level for a prolonged period of time.</w:t>
      </w:r>
    </w:p>
    <w:p w14:paraId="73EB6E3B" w14:textId="37B9718B" w:rsidR="00A82D2C" w:rsidRDefault="00A82D2C" w:rsidP="00A82D2C">
      <w:pPr>
        <w:pStyle w:val="ListParagraph"/>
        <w:numPr>
          <w:ilvl w:val="0"/>
          <w:numId w:val="6"/>
        </w:numPr>
      </w:pPr>
      <w:r w:rsidRPr="00B50765">
        <w:t xml:space="preserve">Clients who are willing to gift the entirety </w:t>
      </w:r>
      <w:r w:rsidR="006C2BAF">
        <w:t xml:space="preserve">(or at least the majority) </w:t>
      </w:r>
      <w:r w:rsidRPr="00B50765">
        <w:t>of their exemption now</w:t>
      </w:r>
      <w:r>
        <w:t xml:space="preserve">.  </w:t>
      </w:r>
      <w:r w:rsidR="006916C9">
        <w:t xml:space="preserve">If you wish to hedge against future reductions in </w:t>
      </w:r>
      <w:r w:rsidRPr="00B50765">
        <w:t>the exemptions</w:t>
      </w:r>
      <w:r>
        <w:t>,</w:t>
      </w:r>
      <w:r w:rsidRPr="00B50765">
        <w:t xml:space="preserve"> you must give enough now t</w:t>
      </w:r>
      <w:r>
        <w:t xml:space="preserve">o use what might be taken away. </w:t>
      </w:r>
      <w:r w:rsidRPr="00B50765">
        <w:t xml:space="preserve"> </w:t>
      </w:r>
      <w:r>
        <w:t xml:space="preserve">For example, if you </w:t>
      </w:r>
      <w:r w:rsidR="002624EA">
        <w:t xml:space="preserve">currently </w:t>
      </w:r>
      <w:r>
        <w:t>have $11</w:t>
      </w:r>
      <w:r w:rsidRPr="00B50765">
        <w:t>,</w:t>
      </w:r>
      <w:r w:rsidR="001924C5">
        <w:t>70</w:t>
      </w:r>
      <w:r w:rsidRPr="00B50765">
        <w:t>0,000 in exemption</w:t>
      </w:r>
      <w:r w:rsidR="00F53728">
        <w:t>,</w:t>
      </w:r>
      <w:r w:rsidRPr="00B50765">
        <w:t xml:space="preserve"> </w:t>
      </w:r>
      <w:r w:rsidR="00F53728">
        <w:t xml:space="preserve">you make a gift of </w:t>
      </w:r>
      <w:r w:rsidRPr="00B50765">
        <w:t>$</w:t>
      </w:r>
      <w:r w:rsidR="00E35D71">
        <w:t>8</w:t>
      </w:r>
      <w:r w:rsidRPr="00B50765">
        <w:t xml:space="preserve">,000,000 </w:t>
      </w:r>
      <w:r w:rsidR="001924C5">
        <w:t>now</w:t>
      </w:r>
      <w:r w:rsidRPr="00B50765">
        <w:t xml:space="preserve"> and the exemption is later reduced to $5,000,000, you will hav</w:t>
      </w:r>
      <w:r>
        <w:t xml:space="preserve">e </w:t>
      </w:r>
      <w:r w:rsidR="00E35D71">
        <w:t xml:space="preserve">given away </w:t>
      </w:r>
      <w:r w:rsidR="00F53728">
        <w:t xml:space="preserve">an extra </w:t>
      </w:r>
      <w:r w:rsidR="00E35D71">
        <w:t xml:space="preserve">$3,000,000 without the imposition of transfer tax.  </w:t>
      </w:r>
      <w:r w:rsidR="002624EA">
        <w:t>On the other hand</w:t>
      </w:r>
      <w:r w:rsidR="00E35D71">
        <w:t>, if</w:t>
      </w:r>
      <w:r w:rsidR="006916C9">
        <w:t>, under the same circumstances,</w:t>
      </w:r>
      <w:r w:rsidR="00F53728">
        <w:t xml:space="preserve"> you make a gift of </w:t>
      </w:r>
      <w:r w:rsidR="00E35D71" w:rsidRPr="00B50765">
        <w:t>$4,000,000</w:t>
      </w:r>
      <w:r w:rsidR="002624EA">
        <w:t xml:space="preserve"> now</w:t>
      </w:r>
      <w:r w:rsidR="00E35D71" w:rsidRPr="00B50765">
        <w:t xml:space="preserve">, </w:t>
      </w:r>
      <w:r w:rsidR="002624EA">
        <w:t>t</w:t>
      </w:r>
      <w:r w:rsidR="00E35D71" w:rsidRPr="00B50765">
        <w:t xml:space="preserve">he $4,000,000 will be applied against </w:t>
      </w:r>
      <w:r w:rsidR="00431D8E">
        <w:t>the reduced exemption of $5,000,000, leaving you with $1,000,000 of exemption remaining --</w:t>
      </w:r>
      <w:r w:rsidRPr="00B50765">
        <w:t xml:space="preserve"> the gift will no</w:t>
      </w:r>
      <w:r>
        <w:t xml:space="preserve">t be taken “off the top” of the </w:t>
      </w:r>
      <w:r w:rsidRPr="00B50765">
        <w:t>higher exemption amount</w:t>
      </w:r>
      <w:r>
        <w:t>;</w:t>
      </w:r>
      <w:r w:rsidRPr="00B50765">
        <w:t xml:space="preserve"> it will si</w:t>
      </w:r>
      <w:r>
        <w:t xml:space="preserve">mply be applied </w:t>
      </w:r>
      <w:r w:rsidR="00824DF5">
        <w:t>against the reduced exemption amount</w:t>
      </w:r>
      <w:r w:rsidRPr="00B50765">
        <w:t>.</w:t>
      </w:r>
      <w:r>
        <w:t xml:space="preserve"> </w:t>
      </w:r>
      <w:r w:rsidRPr="00B50765">
        <w:t xml:space="preserve"> That means </w:t>
      </w:r>
      <w:r w:rsidR="006916C9">
        <w:t xml:space="preserve">that </w:t>
      </w:r>
      <w:r w:rsidRPr="00B50765">
        <w:t xml:space="preserve">making large gifts now is the only way to capture </w:t>
      </w:r>
      <w:r w:rsidR="007C6850">
        <w:t xml:space="preserve">or “lock in” </w:t>
      </w:r>
      <w:r w:rsidRPr="00B50765">
        <w:t xml:space="preserve">the difference between the </w:t>
      </w:r>
      <w:r w:rsidR="006916C9">
        <w:t xml:space="preserve">current </w:t>
      </w:r>
      <w:r w:rsidRPr="00B50765">
        <w:t xml:space="preserve">historically large exemption amount and </w:t>
      </w:r>
      <w:r w:rsidR="002624EA">
        <w:t>the</w:t>
      </w:r>
      <w:r w:rsidR="006C2BAF">
        <w:t xml:space="preserve"> amount to which </w:t>
      </w:r>
      <w:r w:rsidRPr="00B50765">
        <w:t xml:space="preserve">the exemption </w:t>
      </w:r>
      <w:r w:rsidR="006916C9">
        <w:t>may be</w:t>
      </w:r>
      <w:r w:rsidR="006916C9" w:rsidRPr="00B50765">
        <w:t xml:space="preserve"> </w:t>
      </w:r>
      <w:r w:rsidRPr="00B50765">
        <w:t>subsequently reduced.</w:t>
      </w:r>
    </w:p>
    <w:p w14:paraId="29F0BE81" w14:textId="77777777" w:rsidR="00AD2E2A" w:rsidRDefault="00AD2E2A" w:rsidP="00A82D2C">
      <w:pPr>
        <w:pStyle w:val="ListParagraph"/>
        <w:numPr>
          <w:ilvl w:val="0"/>
          <w:numId w:val="6"/>
        </w:numPr>
      </w:pPr>
      <w:r>
        <w:t>Clients who can afford to pay gift tax in the unlikely event of a retroactive reduction of the federal gift tax exemption.</w:t>
      </w:r>
    </w:p>
    <w:p w14:paraId="13C91217" w14:textId="77777777" w:rsidR="00EA0B34" w:rsidRDefault="00EA0B34" w:rsidP="00A82D2C">
      <w:pPr>
        <w:pStyle w:val="ListParagraph"/>
        <w:numPr>
          <w:ilvl w:val="0"/>
          <w:numId w:val="6"/>
        </w:numPr>
      </w:pPr>
      <w:r>
        <w:t>Clients who are considering pre-funding their life insurance premiums on policies owned by Life Insurance Trusts.</w:t>
      </w:r>
    </w:p>
    <w:p w14:paraId="23C7AAD0" w14:textId="620BC4C8" w:rsidR="00EA0B34" w:rsidRPr="00B50765" w:rsidRDefault="00EA0B34">
      <w:pPr>
        <w:pStyle w:val="ListParagraph"/>
        <w:numPr>
          <w:ilvl w:val="0"/>
          <w:numId w:val="6"/>
        </w:numPr>
      </w:pPr>
      <w:r>
        <w:t xml:space="preserve">Clients who are considering </w:t>
      </w:r>
      <w:r w:rsidR="001A232D">
        <w:t xml:space="preserve">sales </w:t>
      </w:r>
      <w:r w:rsidR="006E669D">
        <w:t xml:space="preserve">to </w:t>
      </w:r>
      <w:r w:rsidR="001A232D">
        <w:t xml:space="preserve">grantor trusts </w:t>
      </w:r>
      <w:r w:rsidR="00E36667">
        <w:t xml:space="preserve">or gifts to grantor trusts, </w:t>
      </w:r>
      <w:r w:rsidR="001A232D">
        <w:t xml:space="preserve">such as </w:t>
      </w:r>
      <w:r>
        <w:t xml:space="preserve">GRATs, QPRTs and </w:t>
      </w:r>
      <w:r w:rsidR="006E669D">
        <w:t xml:space="preserve">Spousal Estate Reduction Trusts. </w:t>
      </w:r>
    </w:p>
    <w:p w14:paraId="6636598D" w14:textId="77777777" w:rsidR="0081247C" w:rsidRPr="00846AD8" w:rsidRDefault="0081247C" w:rsidP="004B4435">
      <w:pPr>
        <w:rPr>
          <w:rFonts w:ascii="Univers 57 Condensed" w:hAnsi="Univers 57 Condensed" w:cs="Arial"/>
          <w:b/>
          <w:bCs/>
          <w:sz w:val="22"/>
          <w:szCs w:val="24"/>
        </w:rPr>
      </w:pPr>
    </w:p>
    <w:p w14:paraId="3B315810" w14:textId="623241E0" w:rsidR="00183CD0" w:rsidRPr="00846AD8" w:rsidRDefault="00183CD0" w:rsidP="00183CD0">
      <w:pPr>
        <w:rPr>
          <w:rFonts w:ascii="Univers 57 Condensed" w:hAnsi="Univers 57 Condensed" w:cs="Arial"/>
          <w:b/>
          <w:bCs/>
          <w:sz w:val="22"/>
          <w:szCs w:val="24"/>
        </w:rPr>
      </w:pPr>
      <w:r>
        <w:rPr>
          <w:rFonts w:ascii="Univers 57 Condensed" w:hAnsi="Univers 57 Condensed" w:cs="Arial"/>
          <w:b/>
          <w:bCs/>
          <w:sz w:val="22"/>
          <w:szCs w:val="24"/>
        </w:rPr>
        <w:t>RECENT CHANGES AND PROPOSED ADDITIONAL CHANGES AFFECTING RETIREMENT ASSETS</w:t>
      </w:r>
    </w:p>
    <w:p w14:paraId="6F0C413D" w14:textId="77777777" w:rsidR="00183CD0" w:rsidRDefault="00183CD0" w:rsidP="00183CD0"/>
    <w:p w14:paraId="442FC2C9" w14:textId="2D872FA4" w:rsidR="00183CD0" w:rsidRDefault="00183CD0" w:rsidP="00183CD0">
      <w:r w:rsidRPr="00E50E31">
        <w:rPr>
          <w:b/>
        </w:rPr>
        <w:t xml:space="preserve">Recent </w:t>
      </w:r>
      <w:r>
        <w:rPr>
          <w:b/>
        </w:rPr>
        <w:t>c</w:t>
      </w:r>
      <w:r w:rsidRPr="00E50E31">
        <w:rPr>
          <w:b/>
        </w:rPr>
        <w:t xml:space="preserve">hanges to Retirement </w:t>
      </w:r>
      <w:r>
        <w:rPr>
          <w:b/>
        </w:rPr>
        <w:t>Plan</w:t>
      </w:r>
      <w:r w:rsidRPr="00E50E31">
        <w:rPr>
          <w:b/>
        </w:rPr>
        <w:t xml:space="preserve"> </w:t>
      </w:r>
      <w:r>
        <w:rPr>
          <w:b/>
        </w:rPr>
        <w:t>r</w:t>
      </w:r>
      <w:r w:rsidRPr="00E50E31">
        <w:rPr>
          <w:b/>
        </w:rPr>
        <w:t>ules:</w:t>
      </w:r>
      <w:r>
        <w:t xml:space="preserve">  As a reminder, the Coronavirus Aid, Relief and Economic Security (CARES) Act suspended required minimum distributions (“RMDs”) for 2020 for retirement plans such as 401(k)s, 403(b)s, 457(b)s, SEP IRAs, Simple IRAs, and traditional </w:t>
      </w:r>
      <w:r>
        <w:lastRenderedPageBreak/>
        <w:t xml:space="preserve">and inherited IRAs.  An RMD is the amount that </w:t>
      </w:r>
      <w:r w:rsidR="001411A0">
        <w:t>must</w:t>
      </w:r>
      <w:r>
        <w:t xml:space="preserve"> be withdrawn by the participant/account-owner when the participant/account-owner has reached a certain age or by the beneficiary of an inherited retirement plan.  This change only applied in 2020, meaning that in 2021 and beyond RMDs again must be taken by the participant/account-owner (while a different set of rules applies to the beneficiaries of a deceased participant/account</w:t>
      </w:r>
      <w:r w:rsidR="00EF05B4">
        <w:t>-</w:t>
      </w:r>
      <w:r>
        <w:t xml:space="preserve">owner as explained below).  However, the RMD calculations will change beginning on January 1, 2022, as new life expectancy tables will apply </w:t>
      </w:r>
      <w:r w:rsidR="00824DF5">
        <w:t xml:space="preserve">to </w:t>
      </w:r>
      <w:r w:rsidR="001411A0">
        <w:t xml:space="preserve">the calculation of </w:t>
      </w:r>
      <w:r>
        <w:t xml:space="preserve">RMDs </w:t>
      </w:r>
      <w:r w:rsidR="001411A0">
        <w:t xml:space="preserve">to be </w:t>
      </w:r>
      <w:r>
        <w:t xml:space="preserve">taken from retirement accounts, reflecting longer life expectancies.  </w:t>
      </w:r>
    </w:p>
    <w:p w14:paraId="77507C26" w14:textId="77777777" w:rsidR="00183CD0" w:rsidRDefault="00183CD0" w:rsidP="00183CD0">
      <w:pPr>
        <w:tabs>
          <w:tab w:val="left" w:pos="360"/>
        </w:tabs>
      </w:pPr>
    </w:p>
    <w:p w14:paraId="65B7A38E" w14:textId="363B77BA" w:rsidR="00183CD0" w:rsidRDefault="00183CD0" w:rsidP="00183CD0">
      <w:pPr>
        <w:tabs>
          <w:tab w:val="left" w:pos="360"/>
        </w:tabs>
      </w:pPr>
      <w:r>
        <w:t xml:space="preserve">In addition, as discussed in our prior letters, the Setting Every Community Up for Retirement Enhancement (“SECURE”) Act, enacted at the end of 2019, significantly changed the rules for inherited retirement accounts, including increasing the required beginning date for a plan participant/account-owner to age 72.  The most notable change under the SECURE Act was to require individual beneficiaries, other than a surviving spouse, to draw down the entire account balance no later than </w:t>
      </w:r>
      <w:r w:rsidR="00E325F0">
        <w:t>December 31</w:t>
      </w:r>
      <w:r w:rsidR="00922F09" w:rsidRPr="00496712">
        <w:rPr>
          <w:vertAlign w:val="superscript"/>
        </w:rPr>
        <w:t>st</w:t>
      </w:r>
      <w:r w:rsidR="00922F09">
        <w:t xml:space="preserve"> of the year containing </w:t>
      </w:r>
      <w:r>
        <w:t>the 10</w:t>
      </w:r>
      <w:r w:rsidRPr="00A558B6">
        <w:rPr>
          <w:vertAlign w:val="superscript"/>
        </w:rPr>
        <w:t>th</w:t>
      </w:r>
      <w:r>
        <w:t xml:space="preserve"> anniversary of the participant/account-owner’s death rather than over the beneficiary’s life expectancy.  This treatment has the likely effect of accelerating the income taxes due on the distributions and minimizing the amount of appreciation that occurs on a tax-deferred basis.  There is no required distribution schedule for the 10</w:t>
      </w:r>
      <w:r w:rsidR="00EF05B4">
        <w:t>-</w:t>
      </w:r>
      <w:r>
        <w:t>year period, but the entire account must be withdrawn by the 10</w:t>
      </w:r>
      <w:r w:rsidR="00EF05B4">
        <w:t>-</w:t>
      </w:r>
      <w:r>
        <w:t>year mark.  There are some exceptions for minor children of the participant (whose 10</w:t>
      </w:r>
      <w:r w:rsidR="00EF05B4">
        <w:t>-</w:t>
      </w:r>
      <w:r>
        <w:t xml:space="preserve">year draw down window begins when they reach the age of majority), disabled or chronically ill beneficiaries, and beneficiaries not more than 10 years younger than the deceased owner.  Most importantly, the 10-year draw down </w:t>
      </w:r>
      <w:r w:rsidR="00824DF5">
        <w:t xml:space="preserve">is </w:t>
      </w:r>
      <w:r>
        <w:t xml:space="preserve">only </w:t>
      </w:r>
      <w:r w:rsidR="00824DF5">
        <w:t xml:space="preserve">available </w:t>
      </w:r>
      <w:r>
        <w:t xml:space="preserve">to certain </w:t>
      </w:r>
      <w:r w:rsidR="00824DF5">
        <w:t xml:space="preserve">types </w:t>
      </w:r>
      <w:r>
        <w:t>of trusts</w:t>
      </w:r>
      <w:r w:rsidR="00824DF5">
        <w:t xml:space="preserve"> named as beneficiaries</w:t>
      </w:r>
      <w:r>
        <w:t xml:space="preserve">.  Otherwise a 5-year draw down will apply to trusts named as beneficiaries of retirement plans. </w:t>
      </w:r>
    </w:p>
    <w:p w14:paraId="510A7233" w14:textId="77777777" w:rsidR="00183CD0" w:rsidRDefault="00183CD0" w:rsidP="00183CD0">
      <w:pPr>
        <w:tabs>
          <w:tab w:val="left" w:pos="360"/>
        </w:tabs>
      </w:pPr>
    </w:p>
    <w:p w14:paraId="18CBF2C9" w14:textId="0F3712E3" w:rsidR="00183CD0" w:rsidRDefault="00183CD0" w:rsidP="006C4747">
      <w:pPr>
        <w:autoSpaceDE w:val="0"/>
        <w:autoSpaceDN w:val="0"/>
        <w:rPr>
          <w:rFonts w:cs="Times New Roman"/>
          <w:szCs w:val="24"/>
        </w:rPr>
      </w:pPr>
      <w:r>
        <w:rPr>
          <w:rFonts w:cs="Times New Roman"/>
          <w:b/>
          <w:szCs w:val="24"/>
        </w:rPr>
        <w:t xml:space="preserve">Proposals affecting </w:t>
      </w:r>
      <w:r w:rsidRPr="005E06B2">
        <w:rPr>
          <w:rFonts w:cs="Times New Roman"/>
          <w:b/>
          <w:szCs w:val="24"/>
        </w:rPr>
        <w:t xml:space="preserve">Retirement Plans:  </w:t>
      </w:r>
      <w:r>
        <w:rPr>
          <w:rFonts w:cs="Times New Roman"/>
          <w:szCs w:val="24"/>
        </w:rPr>
        <w:t>The House Proposal imposes contribution limits and new required minimum distributions for high-income “applicable taxpayers” with large retirement account balances.  An “applicable taxpayer” is described as a</w:t>
      </w:r>
      <w:r w:rsidRPr="005E06B2">
        <w:rPr>
          <w:rFonts w:cs="Times New Roman"/>
          <w:szCs w:val="24"/>
        </w:rPr>
        <w:t xml:space="preserve"> taxpayer whose “adjusted taxable income” for </w:t>
      </w:r>
      <w:r>
        <w:rPr>
          <w:rFonts w:cs="Times New Roman"/>
          <w:szCs w:val="24"/>
        </w:rPr>
        <w:t>a</w:t>
      </w:r>
      <w:r w:rsidRPr="005E06B2">
        <w:rPr>
          <w:rFonts w:cs="Times New Roman"/>
          <w:szCs w:val="24"/>
        </w:rPr>
        <w:t xml:space="preserve"> </w:t>
      </w:r>
      <w:r>
        <w:rPr>
          <w:rFonts w:cs="Times New Roman"/>
          <w:szCs w:val="24"/>
        </w:rPr>
        <w:t xml:space="preserve">particular </w:t>
      </w:r>
      <w:r w:rsidRPr="005E06B2">
        <w:rPr>
          <w:rFonts w:cs="Times New Roman"/>
          <w:szCs w:val="24"/>
        </w:rPr>
        <w:t xml:space="preserve">taxable year exceeds: (i) $400,000 for an individual who is not described in (ii) or (iii); </w:t>
      </w:r>
      <w:r>
        <w:rPr>
          <w:rFonts w:cs="Times New Roman"/>
          <w:szCs w:val="24"/>
        </w:rPr>
        <w:t xml:space="preserve">(ii) </w:t>
      </w:r>
      <w:r w:rsidRPr="005E06B2">
        <w:rPr>
          <w:rFonts w:cs="Times New Roman"/>
          <w:szCs w:val="24"/>
        </w:rPr>
        <w:t>$425,000 for an individual who is a head of household; and (iii) $450,000 for an individual who is married filing jointly or a surviving spouse.</w:t>
      </w:r>
      <w:r>
        <w:rPr>
          <w:rFonts w:cs="Times New Roman"/>
          <w:szCs w:val="24"/>
        </w:rPr>
        <w:t xml:space="preserve">  </w:t>
      </w:r>
      <w:r w:rsidR="001411A0" w:rsidRPr="006C4747">
        <w:rPr>
          <w:rFonts w:cs="Times New Roman"/>
          <w:szCs w:val="24"/>
        </w:rPr>
        <w:t>Effective for tax years after December 31, 2021, regardless of the age of the taxpayer, if the aggregate value of the applicable taxpayer's</w:t>
      </w:r>
      <w:r w:rsidR="001411A0">
        <w:rPr>
          <w:rFonts w:cs="Times New Roman"/>
          <w:szCs w:val="24"/>
        </w:rPr>
        <w:t xml:space="preserve"> </w:t>
      </w:r>
      <w:r w:rsidR="001411A0" w:rsidRPr="006C4747">
        <w:rPr>
          <w:rFonts w:cs="Times New Roman"/>
          <w:szCs w:val="24"/>
        </w:rPr>
        <w:t>retirement accounts exceeds $10,000,000 (in 2022 and indexed for inflation thereafter) at the end of the prior tax year, the applicable taxpayer (1) may not make further contributions to the retirement accounts, (2) must take a distribution from the retirement accounts equal to 50% of the amount by which the aggregate value of the accounts exceeds $10,000,000 and (3) to the extent that the aggregate value of the retirement accounts exceeds $20,000,000 (in 2022 and indexed for inflation thereafter) and includes Roth retirement accounts, must take an additional distribution from the taxpayer’s Roth retirement accounts of the lesser of (a) the amount necessary to reduce the aggregate value of all retirement accounts to $20,000,000 or (b) the balance held in the taxpayer’s Roth retirement accounts.</w:t>
      </w:r>
      <w:r w:rsidR="00FD717B">
        <w:rPr>
          <w:rFonts w:cs="Times New Roman"/>
          <w:szCs w:val="24"/>
        </w:rPr>
        <w:t xml:space="preserve"> </w:t>
      </w:r>
      <w:r w:rsidR="00FD717B" w:rsidDel="001411A0">
        <w:rPr>
          <w:rFonts w:cs="Times New Roman"/>
          <w:szCs w:val="24"/>
        </w:rPr>
        <w:t xml:space="preserve"> </w:t>
      </w:r>
      <w:r>
        <w:rPr>
          <w:rFonts w:cs="Times New Roman"/>
          <w:szCs w:val="24"/>
        </w:rPr>
        <w:t>In addition</w:t>
      </w:r>
      <w:r w:rsidRPr="005E06B2">
        <w:rPr>
          <w:rFonts w:cs="Times New Roman"/>
          <w:szCs w:val="24"/>
        </w:rPr>
        <w:t xml:space="preserve">, </w:t>
      </w:r>
      <w:r>
        <w:rPr>
          <w:rFonts w:cs="Times New Roman"/>
          <w:szCs w:val="24"/>
        </w:rPr>
        <w:t>t</w:t>
      </w:r>
      <w:r w:rsidRPr="005E06B2">
        <w:rPr>
          <w:rFonts w:cs="Times New Roman"/>
          <w:szCs w:val="24"/>
        </w:rPr>
        <w:t>he House Proposal eliminates Roth conversions for applicable taxpayers</w:t>
      </w:r>
      <w:r>
        <w:rPr>
          <w:rFonts w:cs="Times New Roman"/>
          <w:szCs w:val="24"/>
        </w:rPr>
        <w:t xml:space="preserve"> (effective </w:t>
      </w:r>
      <w:r w:rsidR="00EF05B4">
        <w:rPr>
          <w:rFonts w:cs="Times New Roman"/>
          <w:szCs w:val="24"/>
        </w:rPr>
        <w:t xml:space="preserve">for tax years after </w:t>
      </w:r>
      <w:r>
        <w:rPr>
          <w:rFonts w:cs="Times New Roman"/>
          <w:szCs w:val="24"/>
        </w:rPr>
        <w:t>December 31, 2031) and eliminates after-tax contributions to qualified plans and Roth conversions</w:t>
      </w:r>
      <w:r w:rsidR="00483439">
        <w:rPr>
          <w:rFonts w:cs="Times New Roman"/>
          <w:szCs w:val="24"/>
        </w:rPr>
        <w:t xml:space="preserve"> for all taxpayers regardless of income level</w:t>
      </w:r>
      <w:r>
        <w:rPr>
          <w:rFonts w:cs="Times New Roman"/>
          <w:szCs w:val="24"/>
        </w:rPr>
        <w:t xml:space="preserve"> if any portion of the amount converted consists of after-tax contributions</w:t>
      </w:r>
      <w:r w:rsidR="00483439">
        <w:rPr>
          <w:rFonts w:cs="Times New Roman"/>
          <w:szCs w:val="24"/>
        </w:rPr>
        <w:t xml:space="preserve"> (effective </w:t>
      </w:r>
      <w:r w:rsidR="00EF05B4">
        <w:rPr>
          <w:rFonts w:cs="Times New Roman"/>
          <w:szCs w:val="24"/>
        </w:rPr>
        <w:t xml:space="preserve">for tax years after </w:t>
      </w:r>
      <w:r w:rsidR="00483439">
        <w:rPr>
          <w:rFonts w:cs="Times New Roman"/>
          <w:szCs w:val="24"/>
        </w:rPr>
        <w:t>December 31, 2021)</w:t>
      </w:r>
      <w:r>
        <w:rPr>
          <w:rFonts w:cs="Times New Roman"/>
          <w:szCs w:val="24"/>
        </w:rPr>
        <w:t>.</w:t>
      </w:r>
    </w:p>
    <w:p w14:paraId="76B8ECEC" w14:textId="63848C40" w:rsidR="004B4435" w:rsidRPr="000F1395" w:rsidRDefault="000F1395" w:rsidP="000F1395">
      <w:pPr>
        <w:rPr>
          <w:rFonts w:ascii="Univers 57 Condensed" w:hAnsi="Univers 57 Condensed"/>
          <w:b/>
        </w:rPr>
      </w:pPr>
      <w:r w:rsidRPr="000F1395">
        <w:rPr>
          <w:rFonts w:ascii="Univers 57 Condensed" w:hAnsi="Univers 57 Condensed"/>
          <w:b/>
        </w:rPr>
        <w:lastRenderedPageBreak/>
        <w:t>FLORIDA COMMUNITY PROPERTY TRUSTS</w:t>
      </w:r>
    </w:p>
    <w:p w14:paraId="2F6623D4" w14:textId="77777777" w:rsidR="00930023" w:rsidRDefault="00930023" w:rsidP="00930023">
      <w:pPr>
        <w:tabs>
          <w:tab w:val="left" w:pos="270"/>
        </w:tabs>
      </w:pPr>
    </w:p>
    <w:p w14:paraId="7C794CDC" w14:textId="1868372C" w:rsidR="00905375" w:rsidRDefault="00E46C7B" w:rsidP="00905375">
      <w:pPr>
        <w:rPr>
          <w:rFonts w:cs="Times New Roman"/>
          <w:szCs w:val="24"/>
        </w:rPr>
      </w:pPr>
      <w:r>
        <w:t xml:space="preserve">Most states in the United States, including Connecticut, Florida and New York, are not community property states.  </w:t>
      </w:r>
      <w:r w:rsidR="00E36667">
        <w:t xml:space="preserve">This has often been viewed as an income tax disadvantage for married couples.  As a simple example, if spouses residing in a state that is not a community property state own appreciated property jointly, only one-half of the property receives a step-up in basis at the death of the first spouse to die.  On the other hand, if such property is recognized as community property, 100% of the property receives a step-up in basis at the death of the first spouse to die, permitting the property to be sold by the surviving spouse without paying capital gains tax on </w:t>
      </w:r>
      <w:r w:rsidR="00824DF5">
        <w:t xml:space="preserve">any of </w:t>
      </w:r>
      <w:r w:rsidR="00E36667">
        <w:t>the pre-death appreciation.  A</w:t>
      </w:r>
      <w:r>
        <w:t xml:space="preserve">s of July 1, 2021, Florida became the fifth state to permit the creation of Community Property Trusts.  This new law may present a valuable estate planning opportunity for spouses </w:t>
      </w:r>
      <w:r w:rsidR="00E36667">
        <w:t>in non</w:t>
      </w:r>
      <w:r w:rsidR="00C028C2">
        <w:t xml:space="preserve">-community property states </w:t>
      </w:r>
      <w:r>
        <w:t>who have property with substantial unrealized gains and who are either (i) Florida residents or (ii) non-residents willing to appoint a Florida resident as Trustee of a Community Property Trust.  Florida’s enactment of this new law allows married couples who have highly appreciated property to receive a full step-up in basis at the first of their deaths by transferring appreciated property to a Florida Community Property Trust before the first death.  There are specific provisions which are required for a trust to qualify as a Florida Community Property Trust.  If the spouses are Florida residents, one or both of them may act as Trustee.  If not, the trust must have a “Qualified Trustee” who is a resident of Florida or a bank or trust company authorized to act as a Trustee in Florida.  Please contact your Cummings &amp; Lockwood attorney if you are interested in discussing whether or not converting property to community property by establishing a Florida Community Property Trust is appropriate for you.</w:t>
      </w:r>
    </w:p>
    <w:p w14:paraId="548693C0" w14:textId="77777777" w:rsidR="00DD075E" w:rsidRDefault="00DD075E" w:rsidP="00905375">
      <w:pPr>
        <w:rPr>
          <w:rFonts w:cs="Times New Roman"/>
          <w:szCs w:val="24"/>
        </w:rPr>
      </w:pPr>
    </w:p>
    <w:p w14:paraId="49DF0218" w14:textId="77777777" w:rsidR="00DD075E" w:rsidRDefault="00DD075E" w:rsidP="00905375">
      <w:pPr>
        <w:rPr>
          <w:rFonts w:ascii="Univers 57 Condensed" w:hAnsi="Univers 57 Condensed"/>
          <w:b/>
        </w:rPr>
      </w:pPr>
      <w:r w:rsidRPr="000F1395">
        <w:rPr>
          <w:rFonts w:ascii="Univers 57 Condensed" w:hAnsi="Univers 57 Condensed"/>
          <w:b/>
        </w:rPr>
        <w:t>FLORIDA</w:t>
      </w:r>
      <w:r>
        <w:rPr>
          <w:rFonts w:ascii="Univers 57 Condensed" w:hAnsi="Univers 57 Condensed"/>
          <w:b/>
        </w:rPr>
        <w:t xml:space="preserve"> DIRECTED TRUSTS</w:t>
      </w:r>
    </w:p>
    <w:p w14:paraId="0B60284A" w14:textId="77777777" w:rsidR="00DD075E" w:rsidRDefault="00DD075E" w:rsidP="00905375">
      <w:pPr>
        <w:rPr>
          <w:rFonts w:cs="Times New Roman"/>
          <w:szCs w:val="24"/>
        </w:rPr>
      </w:pPr>
    </w:p>
    <w:p w14:paraId="02F662FF" w14:textId="7119475B" w:rsidR="00DD075E" w:rsidRPr="00107944" w:rsidRDefault="00DD075E" w:rsidP="00DD075E">
      <w:pPr>
        <w:rPr>
          <w:rFonts w:cs="Times New Roman"/>
          <w:szCs w:val="24"/>
        </w:rPr>
      </w:pPr>
      <w:r w:rsidRPr="00107944">
        <w:rPr>
          <w:rFonts w:cs="Times New Roman"/>
          <w:szCs w:val="24"/>
        </w:rPr>
        <w:t xml:space="preserve">Effective July 1, 2021, </w:t>
      </w:r>
      <w:r w:rsidR="00E46C7B" w:rsidRPr="00107944">
        <w:rPr>
          <w:rFonts w:cs="Times New Roman"/>
          <w:szCs w:val="24"/>
        </w:rPr>
        <w:t>the Florida Uniform Directed Trust Act</w:t>
      </w:r>
      <w:r w:rsidR="00E46C7B" w:rsidRPr="00107944" w:rsidDel="00E46C7B">
        <w:rPr>
          <w:rFonts w:cs="Times New Roman"/>
          <w:szCs w:val="24"/>
        </w:rPr>
        <w:t xml:space="preserve"> </w:t>
      </w:r>
      <w:r w:rsidRPr="00107944">
        <w:rPr>
          <w:rFonts w:cs="Times New Roman"/>
          <w:szCs w:val="24"/>
        </w:rPr>
        <w:t xml:space="preserve">permits </w:t>
      </w:r>
      <w:r w:rsidR="00E46C7B">
        <w:rPr>
          <w:rFonts w:cs="Times New Roman"/>
          <w:szCs w:val="24"/>
        </w:rPr>
        <w:t xml:space="preserve">the creation of </w:t>
      </w:r>
      <w:r w:rsidRPr="00107944">
        <w:rPr>
          <w:rFonts w:cs="Times New Roman"/>
          <w:szCs w:val="24"/>
        </w:rPr>
        <w:t>directed trusts.</w:t>
      </w:r>
      <w:r>
        <w:rPr>
          <w:rFonts w:cs="Times New Roman"/>
          <w:szCs w:val="24"/>
        </w:rPr>
        <w:t xml:space="preserve"> </w:t>
      </w:r>
      <w:r w:rsidRPr="00107944">
        <w:rPr>
          <w:rFonts w:cs="Times New Roman"/>
          <w:szCs w:val="24"/>
        </w:rPr>
        <w:t xml:space="preserve"> </w:t>
      </w:r>
      <w:r w:rsidR="0008166A">
        <w:rPr>
          <w:rFonts w:cs="Times New Roman"/>
          <w:szCs w:val="24"/>
        </w:rPr>
        <w:t>The grantor of a d</w:t>
      </w:r>
      <w:r w:rsidR="0008166A" w:rsidRPr="00107944">
        <w:rPr>
          <w:rFonts w:cs="Times New Roman"/>
          <w:szCs w:val="24"/>
        </w:rPr>
        <w:t xml:space="preserve">irected </w:t>
      </w:r>
      <w:r w:rsidR="0008166A">
        <w:rPr>
          <w:rFonts w:cs="Times New Roman"/>
          <w:szCs w:val="24"/>
        </w:rPr>
        <w:t>tr</w:t>
      </w:r>
      <w:r w:rsidR="0008166A" w:rsidRPr="00107944">
        <w:rPr>
          <w:rFonts w:cs="Times New Roman"/>
          <w:szCs w:val="24"/>
        </w:rPr>
        <w:t>ust</w:t>
      </w:r>
      <w:r w:rsidR="0008166A">
        <w:rPr>
          <w:rFonts w:cs="Times New Roman"/>
          <w:szCs w:val="24"/>
        </w:rPr>
        <w:t xml:space="preserve"> may </w:t>
      </w:r>
      <w:r w:rsidRPr="00107944">
        <w:rPr>
          <w:rFonts w:cs="Times New Roman"/>
          <w:szCs w:val="24"/>
        </w:rPr>
        <w:t xml:space="preserve">give a person other than a </w:t>
      </w:r>
      <w:r w:rsidR="006A4189">
        <w:rPr>
          <w:rFonts w:cs="Times New Roman"/>
          <w:szCs w:val="24"/>
        </w:rPr>
        <w:t>T</w:t>
      </w:r>
      <w:r w:rsidRPr="00107944">
        <w:rPr>
          <w:rFonts w:cs="Times New Roman"/>
          <w:szCs w:val="24"/>
        </w:rPr>
        <w:t xml:space="preserve">rustee </w:t>
      </w:r>
      <w:r w:rsidR="0008166A">
        <w:rPr>
          <w:rFonts w:cs="Times New Roman"/>
          <w:szCs w:val="24"/>
        </w:rPr>
        <w:t xml:space="preserve">(the “trust director”) </w:t>
      </w:r>
      <w:r w:rsidRPr="00107944">
        <w:rPr>
          <w:rFonts w:cs="Times New Roman"/>
          <w:szCs w:val="24"/>
        </w:rPr>
        <w:t xml:space="preserve">powers under a trust agreement which </w:t>
      </w:r>
      <w:r w:rsidR="0008166A">
        <w:rPr>
          <w:rFonts w:cs="Times New Roman"/>
          <w:szCs w:val="24"/>
        </w:rPr>
        <w:t xml:space="preserve">would normally be held by the Trustees and require that the </w:t>
      </w:r>
      <w:r w:rsidR="002450AA">
        <w:rPr>
          <w:rFonts w:cs="Times New Roman"/>
          <w:szCs w:val="24"/>
        </w:rPr>
        <w:t>T</w:t>
      </w:r>
      <w:r w:rsidRPr="00107944">
        <w:rPr>
          <w:rFonts w:cs="Times New Roman"/>
          <w:szCs w:val="24"/>
        </w:rPr>
        <w:t>rustees follow</w:t>
      </w:r>
      <w:r w:rsidR="0008166A">
        <w:rPr>
          <w:rFonts w:cs="Times New Roman"/>
          <w:szCs w:val="24"/>
        </w:rPr>
        <w:t xml:space="preserve"> the </w:t>
      </w:r>
      <w:r w:rsidR="001B2A3E">
        <w:rPr>
          <w:rFonts w:cs="Times New Roman"/>
          <w:szCs w:val="24"/>
        </w:rPr>
        <w:t xml:space="preserve">trust </w:t>
      </w:r>
      <w:r w:rsidR="0008166A">
        <w:rPr>
          <w:rFonts w:cs="Times New Roman"/>
          <w:szCs w:val="24"/>
        </w:rPr>
        <w:t xml:space="preserve">director’s </w:t>
      </w:r>
      <w:r w:rsidR="00F6242C">
        <w:rPr>
          <w:rFonts w:cs="Times New Roman"/>
          <w:szCs w:val="24"/>
        </w:rPr>
        <w:t>directions</w:t>
      </w:r>
      <w:r w:rsidR="0008166A">
        <w:rPr>
          <w:rFonts w:cs="Times New Roman"/>
          <w:szCs w:val="24"/>
        </w:rPr>
        <w:t xml:space="preserve"> in exercising these powers</w:t>
      </w:r>
      <w:r w:rsidRPr="00107944">
        <w:rPr>
          <w:rFonts w:cs="Times New Roman"/>
          <w:szCs w:val="24"/>
        </w:rPr>
        <w:t>.</w:t>
      </w:r>
      <w:r>
        <w:rPr>
          <w:rFonts w:cs="Times New Roman"/>
          <w:szCs w:val="24"/>
        </w:rPr>
        <w:t xml:space="preserve"> </w:t>
      </w:r>
      <w:r w:rsidRPr="00107944">
        <w:rPr>
          <w:rFonts w:cs="Times New Roman"/>
          <w:szCs w:val="24"/>
        </w:rPr>
        <w:t xml:space="preserve"> </w:t>
      </w:r>
      <w:r w:rsidR="002C1164">
        <w:rPr>
          <w:rFonts w:cs="Times New Roman"/>
          <w:szCs w:val="24"/>
        </w:rPr>
        <w:t>A common example is a grantor</w:t>
      </w:r>
      <w:r w:rsidRPr="00107944">
        <w:rPr>
          <w:rFonts w:cs="Times New Roman"/>
          <w:szCs w:val="24"/>
        </w:rPr>
        <w:t xml:space="preserve"> giving </w:t>
      </w:r>
      <w:r w:rsidR="00BD7B80">
        <w:rPr>
          <w:rFonts w:cs="Times New Roman"/>
          <w:szCs w:val="24"/>
        </w:rPr>
        <w:t xml:space="preserve">the trust director </w:t>
      </w:r>
      <w:r w:rsidRPr="00107944">
        <w:rPr>
          <w:rFonts w:cs="Times New Roman"/>
          <w:szCs w:val="24"/>
        </w:rPr>
        <w:t>the power to direct investment of trust assets</w:t>
      </w:r>
      <w:r w:rsidR="0008166A">
        <w:rPr>
          <w:rFonts w:cs="Times New Roman"/>
          <w:szCs w:val="24"/>
        </w:rPr>
        <w:t>,</w:t>
      </w:r>
      <w:r w:rsidR="002450AA">
        <w:rPr>
          <w:rFonts w:cs="Times New Roman"/>
          <w:szCs w:val="24"/>
        </w:rPr>
        <w:t xml:space="preserve"> </w:t>
      </w:r>
      <w:r w:rsidR="00473948">
        <w:rPr>
          <w:rFonts w:cs="Times New Roman"/>
          <w:szCs w:val="24"/>
        </w:rPr>
        <w:t>particularly when the trust owns specialized assets such as closely-held business interests</w:t>
      </w:r>
      <w:r w:rsidRPr="00107944">
        <w:rPr>
          <w:rFonts w:cs="Times New Roman"/>
          <w:szCs w:val="24"/>
        </w:rPr>
        <w:t>.</w:t>
      </w:r>
      <w:r>
        <w:rPr>
          <w:rFonts w:cs="Times New Roman"/>
          <w:szCs w:val="24"/>
        </w:rPr>
        <w:t xml:space="preserve"> </w:t>
      </w:r>
      <w:r w:rsidRPr="00107944">
        <w:rPr>
          <w:rFonts w:cs="Times New Roman"/>
          <w:szCs w:val="24"/>
        </w:rPr>
        <w:t xml:space="preserve"> </w:t>
      </w:r>
      <w:r w:rsidR="006003C6">
        <w:rPr>
          <w:rFonts w:cs="Times New Roman"/>
          <w:szCs w:val="24"/>
        </w:rPr>
        <w:t>Alternatively, a</w:t>
      </w:r>
      <w:r w:rsidR="006003C6" w:rsidRPr="00107944">
        <w:rPr>
          <w:rFonts w:cs="Times New Roman"/>
          <w:szCs w:val="24"/>
        </w:rPr>
        <w:t xml:space="preserve"> trust director might be empowered with decisions about when to make or not make distributions to a particular beneficiary.</w:t>
      </w:r>
      <w:r w:rsidR="006003C6">
        <w:rPr>
          <w:rFonts w:cs="Times New Roman"/>
          <w:szCs w:val="24"/>
        </w:rPr>
        <w:t xml:space="preserve"> </w:t>
      </w:r>
      <w:r w:rsidR="006003C6" w:rsidRPr="00107944">
        <w:rPr>
          <w:rFonts w:cs="Times New Roman"/>
          <w:szCs w:val="24"/>
        </w:rPr>
        <w:t xml:space="preserve"> </w:t>
      </w:r>
      <w:r w:rsidR="002C1164">
        <w:rPr>
          <w:rFonts w:cs="Times New Roman"/>
          <w:szCs w:val="24"/>
        </w:rPr>
        <w:t>If a Trustee must follow the directions of the trust director</w:t>
      </w:r>
      <w:r w:rsidRPr="00107944">
        <w:rPr>
          <w:rFonts w:cs="Times New Roman"/>
          <w:szCs w:val="24"/>
        </w:rPr>
        <w:t xml:space="preserve">, the </w:t>
      </w:r>
      <w:r w:rsidR="006A4189">
        <w:rPr>
          <w:rFonts w:cs="Times New Roman"/>
          <w:szCs w:val="24"/>
        </w:rPr>
        <w:t>T</w:t>
      </w:r>
      <w:r w:rsidRPr="00107944">
        <w:rPr>
          <w:rFonts w:cs="Times New Roman"/>
          <w:szCs w:val="24"/>
        </w:rPr>
        <w:t>rustee’s liability is limited</w:t>
      </w:r>
      <w:r w:rsidR="002C1164">
        <w:rPr>
          <w:rFonts w:cs="Times New Roman"/>
          <w:szCs w:val="24"/>
        </w:rPr>
        <w:t xml:space="preserve"> for acting in accordance with those directions</w:t>
      </w:r>
      <w:r w:rsidR="00473948">
        <w:rPr>
          <w:rFonts w:cs="Times New Roman"/>
          <w:szCs w:val="24"/>
        </w:rPr>
        <w:t>.  Instead</w:t>
      </w:r>
      <w:r w:rsidR="00F6242C">
        <w:rPr>
          <w:rFonts w:cs="Times New Roman"/>
          <w:szCs w:val="24"/>
        </w:rPr>
        <w:t>,</w:t>
      </w:r>
      <w:r w:rsidR="00473948">
        <w:rPr>
          <w:rFonts w:cs="Times New Roman"/>
          <w:szCs w:val="24"/>
        </w:rPr>
        <w:t xml:space="preserve"> </w:t>
      </w:r>
      <w:r w:rsidRPr="00107944">
        <w:rPr>
          <w:rFonts w:cs="Times New Roman"/>
          <w:szCs w:val="24"/>
        </w:rPr>
        <w:t xml:space="preserve">the trust director is </w:t>
      </w:r>
      <w:r>
        <w:rPr>
          <w:rFonts w:cs="Times New Roman"/>
          <w:szCs w:val="24"/>
        </w:rPr>
        <w:t xml:space="preserve">generally </w:t>
      </w:r>
      <w:r w:rsidRPr="00107944">
        <w:rPr>
          <w:rFonts w:cs="Times New Roman"/>
          <w:szCs w:val="24"/>
        </w:rPr>
        <w:t>held to the standard</w:t>
      </w:r>
      <w:r w:rsidR="006003C6">
        <w:rPr>
          <w:rFonts w:cs="Times New Roman"/>
          <w:szCs w:val="24"/>
        </w:rPr>
        <w:t>s</w:t>
      </w:r>
      <w:r w:rsidRPr="00107944">
        <w:rPr>
          <w:rFonts w:cs="Times New Roman"/>
          <w:szCs w:val="24"/>
        </w:rPr>
        <w:t xml:space="preserve"> of fiduciary duty and liability </w:t>
      </w:r>
      <w:r w:rsidR="00473948">
        <w:rPr>
          <w:rFonts w:cs="Times New Roman"/>
          <w:szCs w:val="24"/>
        </w:rPr>
        <w:t xml:space="preserve">that </w:t>
      </w:r>
      <w:r w:rsidR="00F6242C">
        <w:rPr>
          <w:rFonts w:cs="Times New Roman"/>
          <w:szCs w:val="24"/>
        </w:rPr>
        <w:t xml:space="preserve">otherwise </w:t>
      </w:r>
      <w:r w:rsidR="00473948">
        <w:rPr>
          <w:rFonts w:cs="Times New Roman"/>
          <w:szCs w:val="24"/>
        </w:rPr>
        <w:t xml:space="preserve">would </w:t>
      </w:r>
      <w:r w:rsidR="006003C6">
        <w:rPr>
          <w:rFonts w:cs="Times New Roman"/>
          <w:szCs w:val="24"/>
        </w:rPr>
        <w:t>apply</w:t>
      </w:r>
      <w:r w:rsidR="00473948">
        <w:rPr>
          <w:rFonts w:cs="Times New Roman"/>
          <w:szCs w:val="24"/>
        </w:rPr>
        <w:t xml:space="preserve"> to the </w:t>
      </w:r>
      <w:r w:rsidR="006A4189">
        <w:rPr>
          <w:rFonts w:cs="Times New Roman"/>
          <w:szCs w:val="24"/>
        </w:rPr>
        <w:t>T</w:t>
      </w:r>
      <w:r w:rsidRPr="00107944">
        <w:rPr>
          <w:rFonts w:cs="Times New Roman"/>
          <w:szCs w:val="24"/>
        </w:rPr>
        <w:t>rustee</w:t>
      </w:r>
      <w:r w:rsidR="006A4189">
        <w:rPr>
          <w:rFonts w:cs="Times New Roman"/>
          <w:szCs w:val="24"/>
        </w:rPr>
        <w:t xml:space="preserve">. </w:t>
      </w:r>
      <w:r>
        <w:rPr>
          <w:rFonts w:cs="Times New Roman"/>
          <w:szCs w:val="24"/>
        </w:rPr>
        <w:t xml:space="preserve"> However, the trust can be drafted to increase or reduce, but not eliminate, the trust director’s </w:t>
      </w:r>
      <w:r w:rsidR="003309DD">
        <w:rPr>
          <w:rFonts w:cs="Times New Roman"/>
          <w:szCs w:val="24"/>
        </w:rPr>
        <w:t>liability</w:t>
      </w:r>
      <w:r w:rsidRPr="00107944">
        <w:rPr>
          <w:rFonts w:cs="Times New Roman"/>
          <w:szCs w:val="24"/>
        </w:rPr>
        <w:t>.</w:t>
      </w:r>
      <w:r>
        <w:rPr>
          <w:rFonts w:cs="Times New Roman"/>
          <w:szCs w:val="24"/>
        </w:rPr>
        <w:t xml:space="preserve"> </w:t>
      </w:r>
      <w:r w:rsidRPr="00107944">
        <w:rPr>
          <w:rFonts w:cs="Times New Roman"/>
          <w:szCs w:val="24"/>
        </w:rPr>
        <w:t xml:space="preserve"> </w:t>
      </w:r>
      <w:r w:rsidR="00EF05B4" w:rsidRPr="00107944">
        <w:rPr>
          <w:rFonts w:cs="Times New Roman"/>
          <w:szCs w:val="24"/>
        </w:rPr>
        <w:t>Th</w:t>
      </w:r>
      <w:r w:rsidR="00EF05B4">
        <w:rPr>
          <w:rFonts w:cs="Times New Roman"/>
          <w:szCs w:val="24"/>
        </w:rPr>
        <w:t>is</w:t>
      </w:r>
      <w:r w:rsidR="00EF05B4" w:rsidRPr="00107944">
        <w:rPr>
          <w:rFonts w:cs="Times New Roman"/>
          <w:szCs w:val="24"/>
        </w:rPr>
        <w:t xml:space="preserve"> </w:t>
      </w:r>
      <w:r w:rsidRPr="00107944">
        <w:rPr>
          <w:rFonts w:cs="Times New Roman"/>
          <w:szCs w:val="24"/>
        </w:rPr>
        <w:t xml:space="preserve">division of responsibilities provides flexibility for clients and also provides a method for reducing </w:t>
      </w:r>
      <w:r w:rsidR="006A4189">
        <w:rPr>
          <w:rFonts w:cs="Times New Roman"/>
          <w:szCs w:val="24"/>
        </w:rPr>
        <w:t>T</w:t>
      </w:r>
      <w:r w:rsidRPr="00107944">
        <w:rPr>
          <w:rFonts w:cs="Times New Roman"/>
          <w:szCs w:val="24"/>
        </w:rPr>
        <w:t xml:space="preserve">rustee fees if the </w:t>
      </w:r>
      <w:r w:rsidR="006A4189">
        <w:rPr>
          <w:rFonts w:cs="Times New Roman"/>
          <w:szCs w:val="24"/>
        </w:rPr>
        <w:t>T</w:t>
      </w:r>
      <w:r w:rsidRPr="00107944">
        <w:rPr>
          <w:rFonts w:cs="Times New Roman"/>
          <w:szCs w:val="24"/>
        </w:rPr>
        <w:t>rustee acts in a mainly administrative role following instructions from a trust director.</w:t>
      </w:r>
    </w:p>
    <w:p w14:paraId="41408862" w14:textId="77777777" w:rsidR="0094639D" w:rsidRPr="0094639D" w:rsidRDefault="0094639D" w:rsidP="00ED0BB6">
      <w:pPr>
        <w:keepNext/>
        <w:spacing w:before="240"/>
        <w:rPr>
          <w:rFonts w:ascii="Univers 57 Condensed" w:hAnsi="Univers 57 Condensed"/>
          <w:b/>
        </w:rPr>
      </w:pPr>
      <w:r w:rsidRPr="0094639D">
        <w:rPr>
          <w:rFonts w:ascii="Univers 57 Condensed" w:hAnsi="Univers 57 Condensed"/>
          <w:b/>
        </w:rPr>
        <w:t>PLANNING FOR YOUR CHILDREN AS THEY REACH ADULTHOOD</w:t>
      </w:r>
    </w:p>
    <w:p w14:paraId="63BCF6D6" w14:textId="77777777" w:rsidR="0094639D" w:rsidRDefault="0094639D" w:rsidP="00ED0BB6">
      <w:pPr>
        <w:keepNext/>
      </w:pPr>
    </w:p>
    <w:p w14:paraId="63565B6A" w14:textId="4F7FBE72" w:rsidR="0094639D" w:rsidRDefault="00FC7247" w:rsidP="00ED0BB6">
      <w:pPr>
        <w:pStyle w:val="BodyText"/>
        <w:keepNext/>
        <w:rPr>
          <w:sz w:val="22"/>
        </w:rPr>
      </w:pPr>
      <w:r>
        <w:t>When</w:t>
      </w:r>
      <w:r w:rsidR="0094639D">
        <w:t xml:space="preserve"> children </w:t>
      </w:r>
      <w:r w:rsidR="00257A68">
        <w:t>reach</w:t>
      </w:r>
      <w:r w:rsidR="0094639D">
        <w:t xml:space="preserve"> age 18, they become legal adults, which means that they make their own health care decisions and, in </w:t>
      </w:r>
      <w:r w:rsidR="006A4189">
        <w:t>most</w:t>
      </w:r>
      <w:r w:rsidR="0094639D">
        <w:t xml:space="preserve"> cases, have responsibility</w:t>
      </w:r>
      <w:r>
        <w:t xml:space="preserve"> for their own finances</w:t>
      </w:r>
      <w:r w:rsidR="0094639D">
        <w:t xml:space="preserve">.   In order to retain access to your adult child's medical records, you would need </w:t>
      </w:r>
      <w:r w:rsidR="006A4189">
        <w:t>your child</w:t>
      </w:r>
      <w:r w:rsidR="0094639D">
        <w:t xml:space="preserve"> to sign a document </w:t>
      </w:r>
      <w:r>
        <w:lastRenderedPageBreak/>
        <w:t xml:space="preserve">entitled “Authorization for Use and Disclosure of Protected Health Information” </w:t>
      </w:r>
      <w:r w:rsidR="0094639D">
        <w:t xml:space="preserve">permitting health care providers to share </w:t>
      </w:r>
      <w:r>
        <w:t>your child’s</w:t>
      </w:r>
      <w:r w:rsidR="0094639D">
        <w:t xml:space="preserve"> medical information with you.  In addition, </w:t>
      </w:r>
      <w:r>
        <w:t>your child</w:t>
      </w:r>
      <w:r w:rsidR="0094639D">
        <w:t xml:space="preserve"> should consider signing a Living Will and appointing a Health Care </w:t>
      </w:r>
      <w:r w:rsidR="000A4DD1">
        <w:t xml:space="preserve">Representative </w:t>
      </w:r>
      <w:r>
        <w:t>to make medical decisions if he or she is unable to do so</w:t>
      </w:r>
      <w:r w:rsidR="0094639D">
        <w:t xml:space="preserve">.  Finally, </w:t>
      </w:r>
      <w:r>
        <w:t>your child</w:t>
      </w:r>
      <w:r w:rsidR="0094639D">
        <w:t xml:space="preserve"> should consider signing a Power of Attorney giving you (or another trusted adult) the ability to handle financial matters </w:t>
      </w:r>
      <w:r w:rsidR="006003C6">
        <w:t>on his or her behalf when necessary</w:t>
      </w:r>
      <w:r w:rsidR="0094639D">
        <w:t xml:space="preserve">.  </w:t>
      </w:r>
      <w:r>
        <w:t>If your child is a college student, y</w:t>
      </w:r>
      <w:r w:rsidR="0094639D">
        <w:t xml:space="preserve">ou should check with your child's college or university to determine whether school forms </w:t>
      </w:r>
      <w:r w:rsidR="006A4189">
        <w:t xml:space="preserve">or state-specific forms </w:t>
      </w:r>
      <w:r w:rsidR="0094639D">
        <w:t xml:space="preserve">are </w:t>
      </w:r>
      <w:r>
        <w:t xml:space="preserve">also </w:t>
      </w:r>
      <w:r w:rsidR="0094639D">
        <w:t>required for these purposes.</w:t>
      </w:r>
    </w:p>
    <w:p w14:paraId="02FDCC06" w14:textId="77777777" w:rsidR="0094639D" w:rsidRDefault="0094639D" w:rsidP="0094639D"/>
    <w:p w14:paraId="5D88C5D7" w14:textId="1F52F71B" w:rsidR="0094639D" w:rsidRDefault="0094639D" w:rsidP="0094639D">
      <w:r>
        <w:t xml:space="preserve">You or </w:t>
      </w:r>
      <w:r w:rsidR="006003C6">
        <w:t xml:space="preserve">other </w:t>
      </w:r>
      <w:r>
        <w:t>family members may have gifted to Uniform Transfers to Minors Act</w:t>
      </w:r>
      <w:r w:rsidR="00F24CD5">
        <w:t xml:space="preserve"> (“UTMA”)</w:t>
      </w:r>
      <w:r>
        <w:t xml:space="preserve"> </w:t>
      </w:r>
      <w:r w:rsidR="006003C6">
        <w:t xml:space="preserve">or Uniform Gifts to Minors Act (“UGMA”) </w:t>
      </w:r>
      <w:r>
        <w:t xml:space="preserve">accounts for your child </w:t>
      </w:r>
      <w:r w:rsidR="004B7348">
        <w:t>in past</w:t>
      </w:r>
      <w:r>
        <w:t xml:space="preserve"> years</w:t>
      </w:r>
      <w:r w:rsidR="004B7348">
        <w:t>,</w:t>
      </w:r>
      <w:r>
        <w:t xml:space="preserve"> and </w:t>
      </w:r>
      <w:r w:rsidR="00FC7247">
        <w:t xml:space="preserve">the values </w:t>
      </w:r>
      <w:r>
        <w:t xml:space="preserve">of these accounts </w:t>
      </w:r>
      <w:r w:rsidR="006003C6">
        <w:t xml:space="preserve">may have </w:t>
      </w:r>
      <w:r>
        <w:t>reach</w:t>
      </w:r>
      <w:r w:rsidR="006003C6">
        <w:t>ed</w:t>
      </w:r>
      <w:r>
        <w:t xml:space="preserve"> meaningful levels</w:t>
      </w:r>
      <w:r w:rsidR="006003C6">
        <w:t xml:space="preserve"> such that you are concerned about the child receiving the funds a</w:t>
      </w:r>
      <w:r>
        <w:t xml:space="preserve">t age </w:t>
      </w:r>
      <w:r w:rsidR="00257A68">
        <w:t>18, 21, or 25 (depending on the State where the account is located and the account documents when it was created)</w:t>
      </w:r>
      <w:r w:rsidR="00F6242C">
        <w:t>.</w:t>
      </w:r>
      <w:r w:rsidR="00257A68">
        <w:t xml:space="preserve"> </w:t>
      </w:r>
      <w:r>
        <w:t xml:space="preserve"> You may wish to speak with your Cummings &amp; Lockwood attorney about options your child </w:t>
      </w:r>
      <w:r w:rsidR="00F24CD5">
        <w:t>might consider in order</w:t>
      </w:r>
      <w:r>
        <w:t xml:space="preserve"> to protect himself or herself by </w:t>
      </w:r>
      <w:r w:rsidR="00F24CD5">
        <w:t>delaying</w:t>
      </w:r>
      <w:r>
        <w:t xml:space="preserve"> the age at which the child </w:t>
      </w:r>
      <w:r w:rsidR="00F24CD5">
        <w:t>receives the UTMA</w:t>
      </w:r>
      <w:r w:rsidR="007448A8">
        <w:t xml:space="preserve"> or UGMA</w:t>
      </w:r>
      <w:r w:rsidR="00F24CD5">
        <w:t xml:space="preserve"> funds outright</w:t>
      </w:r>
      <w:r>
        <w:t xml:space="preserve"> and permitting you to manage funds for him or her </w:t>
      </w:r>
      <w:r w:rsidR="000A4DD1">
        <w:t xml:space="preserve">for a </w:t>
      </w:r>
      <w:r>
        <w:t>longer</w:t>
      </w:r>
      <w:r w:rsidR="000A4DD1">
        <w:t xml:space="preserve"> period of time</w:t>
      </w:r>
      <w:r>
        <w:t>.</w:t>
      </w:r>
    </w:p>
    <w:p w14:paraId="631AA3C5" w14:textId="77777777" w:rsidR="00930023" w:rsidRDefault="00930023" w:rsidP="00930023">
      <w:pPr>
        <w:pStyle w:val="BodyText"/>
      </w:pPr>
    </w:p>
    <w:p w14:paraId="1009A52B" w14:textId="77777777" w:rsidR="00257A68" w:rsidRDefault="00257A68" w:rsidP="00257A68">
      <w:pPr>
        <w:tabs>
          <w:tab w:val="left" w:pos="0"/>
        </w:tabs>
      </w:pPr>
      <w:r>
        <w:rPr>
          <w:rFonts w:ascii="Univers 57 Condensed" w:hAnsi="Univers 57 Condensed"/>
          <w:b/>
        </w:rPr>
        <w:t xml:space="preserve">NEW PALM BEACH GARDENS </w:t>
      </w:r>
      <w:r w:rsidRPr="003F182F">
        <w:rPr>
          <w:rFonts w:ascii="Univers 57 Condensed" w:hAnsi="Univers 57 Condensed"/>
          <w:b/>
        </w:rPr>
        <w:t>OFFICE</w:t>
      </w:r>
      <w:r>
        <w:rPr>
          <w:rFonts w:ascii="Univers 57 Condensed" w:hAnsi="Univers 57 Condensed"/>
          <w:b/>
        </w:rPr>
        <w:t xml:space="preserve"> WITH EXPANDED PROBATE </w:t>
      </w:r>
      <w:r w:rsidR="00DF4DF3">
        <w:rPr>
          <w:rFonts w:ascii="Univers 57 Condensed" w:hAnsi="Univers 57 Condensed"/>
          <w:b/>
        </w:rPr>
        <w:t xml:space="preserve">LITIGATION </w:t>
      </w:r>
      <w:r>
        <w:rPr>
          <w:rFonts w:ascii="Univers 57 Condensed" w:hAnsi="Univers 57 Condensed"/>
          <w:b/>
        </w:rPr>
        <w:t>CAPABILITIES</w:t>
      </w:r>
      <w:r>
        <w:t xml:space="preserve"> </w:t>
      </w:r>
    </w:p>
    <w:p w14:paraId="5D122BF9" w14:textId="77777777" w:rsidR="00257A68" w:rsidRDefault="00257A68" w:rsidP="00257A68">
      <w:pPr>
        <w:rPr>
          <w:rFonts w:cs="Times New Roman"/>
          <w:szCs w:val="24"/>
        </w:rPr>
      </w:pPr>
    </w:p>
    <w:p w14:paraId="1D2DE8FE" w14:textId="4EDC34E7" w:rsidR="00257A68" w:rsidRPr="00D1208E" w:rsidRDefault="00257A68" w:rsidP="00257A68">
      <w:pPr>
        <w:rPr>
          <w:rFonts w:cs="Times New Roman"/>
          <w:szCs w:val="24"/>
        </w:rPr>
      </w:pPr>
      <w:r>
        <w:rPr>
          <w:rFonts w:cs="Times New Roman"/>
          <w:szCs w:val="24"/>
        </w:rPr>
        <w:t xml:space="preserve">In July 2021, we moved our Palm Beach Gardens office to larger space in the Seacoast Banking Centre in Palm Beach Gardens across PGA Boulevard from the North County Courthouse.  </w:t>
      </w:r>
      <w:r w:rsidR="00AB1DF3">
        <w:rPr>
          <w:rFonts w:cs="Times New Roman"/>
          <w:szCs w:val="24"/>
        </w:rPr>
        <w:t xml:space="preserve">This will </w:t>
      </w:r>
      <w:r w:rsidR="00471D54">
        <w:rPr>
          <w:rFonts w:cs="Times New Roman"/>
          <w:szCs w:val="24"/>
        </w:rPr>
        <w:t>allow us to further expand our trust</w:t>
      </w:r>
      <w:r w:rsidR="00824DF5">
        <w:rPr>
          <w:rFonts w:cs="Times New Roman"/>
          <w:szCs w:val="24"/>
        </w:rPr>
        <w:t>s</w:t>
      </w:r>
      <w:r w:rsidR="00471D54">
        <w:rPr>
          <w:rFonts w:cs="Times New Roman"/>
          <w:szCs w:val="24"/>
        </w:rPr>
        <w:t xml:space="preserve"> and estates practice in the Palm </w:t>
      </w:r>
      <w:r w:rsidR="00730A73">
        <w:rPr>
          <w:rFonts w:cs="Times New Roman"/>
          <w:szCs w:val="24"/>
        </w:rPr>
        <w:t>B</w:t>
      </w:r>
      <w:r w:rsidR="00471D54">
        <w:rPr>
          <w:rFonts w:cs="Times New Roman"/>
          <w:szCs w:val="24"/>
        </w:rPr>
        <w:t xml:space="preserve">each area.  In addition, </w:t>
      </w:r>
      <w:r>
        <w:rPr>
          <w:rFonts w:cs="Times New Roman"/>
          <w:szCs w:val="24"/>
        </w:rPr>
        <w:t>Michael Kaelin, a principal in our litigation group and a</w:t>
      </w:r>
      <w:r w:rsidR="003F4CBB">
        <w:rPr>
          <w:rFonts w:cs="Times New Roman"/>
          <w:szCs w:val="24"/>
        </w:rPr>
        <w:t xml:space="preserve">n experienced </w:t>
      </w:r>
      <w:r>
        <w:rPr>
          <w:rFonts w:cs="Times New Roman"/>
          <w:szCs w:val="24"/>
        </w:rPr>
        <w:t xml:space="preserve">probate litigator in Connecticut, is now admitted in Florida and </w:t>
      </w:r>
      <w:r w:rsidR="000A4DD1">
        <w:rPr>
          <w:rFonts w:cs="Times New Roman"/>
          <w:szCs w:val="24"/>
        </w:rPr>
        <w:t>handling</w:t>
      </w:r>
      <w:r>
        <w:rPr>
          <w:rFonts w:cs="Times New Roman"/>
          <w:szCs w:val="24"/>
        </w:rPr>
        <w:t xml:space="preserve"> trusts and estates disputes in both Connecticut and Florida.  When working in Florida, Michael is based in the expanded Palm Beach Gardens office so that we can now more effectively provide litigation services to our Florida clients on both the East and West Coasts.   </w:t>
      </w:r>
    </w:p>
    <w:p w14:paraId="05502395" w14:textId="77777777" w:rsidR="00257A68" w:rsidRDefault="00257A68"/>
    <w:p w14:paraId="6E71AD4B" w14:textId="0D934E28" w:rsidR="00D1208E" w:rsidRDefault="00D1208E" w:rsidP="00D1208E">
      <w:r>
        <w:t xml:space="preserve">We recognize that news out of Washington with regard to changes to the tax law can come at any time and legislation can be proposed and </w:t>
      </w:r>
      <w:r w:rsidR="003F4CBB">
        <w:t>enacted</w:t>
      </w:r>
      <w:r>
        <w:t xml:space="preserve"> quickly.</w:t>
      </w:r>
      <w:r w:rsidR="004D4419">
        <w:t xml:space="preserve"> </w:t>
      </w:r>
      <w:r>
        <w:t xml:space="preserve"> We continue to monitor all of the developments and will post alerts on our website (</w:t>
      </w:r>
      <w:hyperlink r:id="rId9" w:history="1">
        <w:r>
          <w:rPr>
            <w:rStyle w:val="Hyperlink"/>
          </w:rPr>
          <w:t>www.cl-law.com</w:t>
        </w:r>
      </w:hyperlink>
      <w:r>
        <w:t>) with any major developments, as well as a summary of the relevant provisions of any final tax law that is enacted.</w:t>
      </w:r>
      <w:r w:rsidR="00AB7361">
        <w:t xml:space="preserve">  In the meantime, </w:t>
      </w:r>
      <w:r w:rsidR="00F6242C">
        <w:t>please feel free to contact your Cummings &amp; Lockwood attorney with any questions</w:t>
      </w:r>
      <w:r w:rsidR="00AB7361">
        <w:t>.</w:t>
      </w:r>
    </w:p>
    <w:p w14:paraId="1A120FDB" w14:textId="77777777" w:rsidR="00D1208E" w:rsidRDefault="00D1208E" w:rsidP="00D1208E"/>
    <w:p w14:paraId="0E30E306" w14:textId="69FA745D" w:rsidR="005A49C2" w:rsidRDefault="005A49C2" w:rsidP="005A49C2">
      <w:pPr>
        <w:pStyle w:val="BodyText"/>
      </w:pPr>
      <w:bookmarkStart w:id="1" w:name="_GoBack"/>
      <w:bookmarkEnd w:id="0"/>
      <w:bookmarkEnd w:id="1"/>
    </w:p>
    <w:sectPr w:rsidR="005A49C2" w:rsidSect="00586391">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1A95E" w14:textId="77777777" w:rsidR="002E44DE" w:rsidRDefault="002E44DE" w:rsidP="00B878D5">
      <w:r>
        <w:separator/>
      </w:r>
    </w:p>
  </w:endnote>
  <w:endnote w:type="continuationSeparator" w:id="0">
    <w:p w14:paraId="72A78D4A" w14:textId="77777777" w:rsidR="002E44DE" w:rsidRDefault="002E44DE" w:rsidP="00B8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57 Condensed">
    <w:altName w:val="Calibri"/>
    <w:panose1 w:val="020B0606020202060204"/>
    <w:charset w:val="00"/>
    <w:family w:val="swiss"/>
    <w:pitch w:val="variable"/>
    <w:sig w:usb0="00000007" w:usb1="00000000" w:usb2="00000000" w:usb3="00000000" w:csb0="00000093" w:csb1="00000000"/>
  </w:font>
  <w:font w:name="Univers Condensed">
    <w:panose1 w:val="020B060602020206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76487" w14:textId="77777777" w:rsidR="002E44DE" w:rsidRDefault="002E44DE" w:rsidP="00586391">
    <w:pPr>
      <w:pStyle w:val="Footer"/>
      <w:rPr>
        <w:rFonts w:ascii="Univers 57 Condensed" w:hAnsi="Univers 57 Condensed"/>
        <w:sz w:val="18"/>
        <w:szCs w:val="18"/>
      </w:rPr>
    </w:pPr>
    <w:r>
      <w:rPr>
        <w:rFonts w:ascii="Univers 57 Condensed" w:hAnsi="Univers 57 Condensed"/>
        <w:sz w:val="18"/>
        <w:szCs w:val="18"/>
      </w:rPr>
      <w:t xml:space="preserve">OCTOBER </w:t>
    </w:r>
    <w:r w:rsidRPr="00586391">
      <w:rPr>
        <w:rFonts w:ascii="Univers 57 Condensed" w:hAnsi="Univers 57 Condensed"/>
        <w:sz w:val="20"/>
        <w:szCs w:val="18"/>
      </w:rPr>
      <w:t>202</w:t>
    </w:r>
    <w:r>
      <w:rPr>
        <w:rFonts w:ascii="Univers 57 Condensed" w:hAnsi="Univers 57 Condensed"/>
        <w:sz w:val="20"/>
        <w:szCs w:val="18"/>
      </w:rPr>
      <w:t>1</w:t>
    </w:r>
    <w:r>
      <w:rPr>
        <w:rFonts w:ascii="Univers 57 Condensed" w:hAnsi="Univers 57 Condensed"/>
        <w:sz w:val="18"/>
        <w:szCs w:val="18"/>
      </w:rPr>
      <w:t xml:space="preserve"> CLIENT UPDATE</w:t>
    </w:r>
  </w:p>
  <w:p w14:paraId="63D84A76" w14:textId="77777777" w:rsidR="002E44DE" w:rsidRDefault="002E4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A0402" w14:textId="2737B250" w:rsidR="00A538B7" w:rsidRDefault="00A538B7" w:rsidP="00A538B7">
    <w:pPr>
      <w:pStyle w:val="Footer"/>
    </w:pPr>
  </w:p>
  <w:p w14:paraId="54A20A97" w14:textId="1EC06747" w:rsidR="00A538B7" w:rsidRDefault="00A538B7">
    <w:pPr>
      <w:pStyle w:val="Footer"/>
    </w:pPr>
    <w:r>
      <w:rPr>
        <w:noProof/>
      </w:rPr>
      <mc:AlternateContent>
        <mc:Choice Requires="wps">
          <w:drawing>
            <wp:anchor distT="0" distB="0" distL="114300" distR="114300" simplePos="0" relativeHeight="251663360" behindDoc="0" locked="0" layoutInCell="0" allowOverlap="1" wp14:anchorId="7CC8ADAB" wp14:editId="30F4A5CD">
              <wp:simplePos x="0" y="0"/>
              <wp:positionH relativeFrom="column">
                <wp:posOffset>-431165</wp:posOffset>
              </wp:positionH>
              <wp:positionV relativeFrom="page">
                <wp:posOffset>9619615</wp:posOffset>
              </wp:positionV>
              <wp:extent cx="6748145" cy="255905"/>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6748145" cy="255905"/>
                      </a:xfrm>
                      <a:prstGeom prst="rect">
                        <a:avLst/>
                      </a:prstGeom>
                      <a:solidFill>
                        <a:sysClr val="window" lastClr="FFFFFF"/>
                      </a:solidFill>
                      <a:ln w="6350">
                        <a:noFill/>
                      </a:ln>
                      <a:effectLst/>
                    </wps:spPr>
                    <wps:txbx>
                      <w:txbxContent>
                        <w:p w14:paraId="677D366E" w14:textId="77777777" w:rsidR="00A538B7" w:rsidRPr="000D79F5" w:rsidRDefault="00A538B7" w:rsidP="00A538B7">
                          <w:pPr>
                            <w:rPr>
                              <w:rFonts w:ascii="Arial" w:hAnsi="Arial" w:cs="Arial"/>
                              <w:color w:val="C00000"/>
                              <w:sz w:val="12"/>
                            </w:rPr>
                          </w:pPr>
                          <w:bookmarkStart w:id="3" w:name="clFirmLogo2"/>
                          <w:r w:rsidRPr="000D79F5">
                            <w:rPr>
                              <w:rFonts w:ascii="Arial" w:hAnsi="Arial" w:cs="Arial"/>
                              <w:color w:val="C00000"/>
                              <w:sz w:val="12"/>
                            </w:rPr>
                            <w:t xml:space="preserve">S T A M F O R D  </w:t>
                          </w:r>
                          <w:r>
                            <w:rPr>
                              <w:rFonts w:ascii="Arial" w:hAnsi="Arial" w:cs="Arial"/>
                              <w:color w:val="C00000"/>
                              <w:sz w:val="12"/>
                            </w:rPr>
                            <w:t xml:space="preserve">   </w:t>
                          </w:r>
                          <w:r w:rsidRPr="000D79F5">
                            <w:rPr>
                              <w:rFonts w:ascii="Arial" w:hAnsi="Arial" w:cs="Arial"/>
                              <w:color w:val="C00000"/>
                              <w:sz w:val="12"/>
                            </w:rPr>
                            <w:t xml:space="preserve">   |    </w:t>
                          </w:r>
                          <w:r>
                            <w:rPr>
                              <w:rFonts w:ascii="Arial" w:hAnsi="Arial" w:cs="Arial"/>
                              <w:color w:val="C00000"/>
                              <w:sz w:val="12"/>
                            </w:rPr>
                            <w:t xml:space="preserve">   </w:t>
                          </w:r>
                          <w:r w:rsidRPr="000D79F5">
                            <w:rPr>
                              <w:rFonts w:ascii="Arial" w:hAnsi="Arial" w:cs="Arial"/>
                              <w:color w:val="C00000"/>
                              <w:sz w:val="12"/>
                            </w:rPr>
                            <w:t xml:space="preserve"> G R E </w:t>
                          </w:r>
                          <w:proofErr w:type="spellStart"/>
                          <w:r w:rsidRPr="000D79F5">
                            <w:rPr>
                              <w:rFonts w:ascii="Arial" w:hAnsi="Arial" w:cs="Arial"/>
                              <w:color w:val="C00000"/>
                              <w:sz w:val="12"/>
                            </w:rPr>
                            <w:t>E</w:t>
                          </w:r>
                          <w:proofErr w:type="spellEnd"/>
                          <w:r w:rsidRPr="000D79F5">
                            <w:rPr>
                              <w:rFonts w:ascii="Arial" w:hAnsi="Arial" w:cs="Arial"/>
                              <w:color w:val="C00000"/>
                              <w:sz w:val="12"/>
                            </w:rPr>
                            <w:t xml:space="preserve"> N W I C H </w:t>
                          </w:r>
                          <w:r>
                            <w:rPr>
                              <w:rFonts w:ascii="Arial" w:hAnsi="Arial" w:cs="Arial"/>
                              <w:color w:val="C00000"/>
                              <w:sz w:val="12"/>
                            </w:rPr>
                            <w:t xml:space="preserve"> </w:t>
                          </w:r>
                          <w:r w:rsidRPr="000D79F5">
                            <w:rPr>
                              <w:rFonts w:ascii="Arial" w:hAnsi="Arial" w:cs="Arial"/>
                              <w:color w:val="C00000"/>
                              <w:sz w:val="12"/>
                            </w:rPr>
                            <w:t xml:space="preserve"> </w:t>
                          </w:r>
                          <w:r>
                            <w:rPr>
                              <w:rFonts w:ascii="Arial" w:hAnsi="Arial" w:cs="Arial"/>
                              <w:color w:val="C00000"/>
                              <w:sz w:val="12"/>
                            </w:rPr>
                            <w:t xml:space="preserve"> </w:t>
                          </w:r>
                          <w:r w:rsidRPr="000D79F5">
                            <w:rPr>
                              <w:rFonts w:ascii="Arial" w:hAnsi="Arial" w:cs="Arial"/>
                              <w:color w:val="C00000"/>
                              <w:sz w:val="12"/>
                            </w:rPr>
                            <w:t xml:space="preserve"> </w:t>
                          </w:r>
                          <w:r>
                            <w:rPr>
                              <w:rFonts w:ascii="Arial" w:hAnsi="Arial" w:cs="Arial"/>
                              <w:color w:val="C00000"/>
                              <w:sz w:val="12"/>
                            </w:rPr>
                            <w:t xml:space="preserve"> </w:t>
                          </w:r>
                          <w:r w:rsidRPr="000D79F5">
                            <w:rPr>
                              <w:rFonts w:ascii="Arial" w:hAnsi="Arial" w:cs="Arial"/>
                              <w:color w:val="C00000"/>
                              <w:sz w:val="12"/>
                            </w:rPr>
                            <w:t xml:space="preserve">  |  </w:t>
                          </w:r>
                          <w:r>
                            <w:rPr>
                              <w:rFonts w:ascii="Arial" w:hAnsi="Arial" w:cs="Arial"/>
                              <w:color w:val="C00000"/>
                              <w:sz w:val="12"/>
                            </w:rPr>
                            <w:t xml:space="preserve"> </w:t>
                          </w:r>
                          <w:r w:rsidRPr="000D79F5">
                            <w:rPr>
                              <w:rFonts w:ascii="Arial" w:hAnsi="Arial" w:cs="Arial"/>
                              <w:color w:val="C00000"/>
                              <w:sz w:val="12"/>
                            </w:rPr>
                            <w:t xml:space="preserve"> </w:t>
                          </w:r>
                          <w:r>
                            <w:rPr>
                              <w:rFonts w:ascii="Arial" w:hAnsi="Arial" w:cs="Arial"/>
                              <w:color w:val="C00000"/>
                              <w:sz w:val="12"/>
                            </w:rPr>
                            <w:t xml:space="preserve"> </w:t>
                          </w:r>
                          <w:r w:rsidRPr="000D79F5">
                            <w:rPr>
                              <w:rFonts w:ascii="Arial" w:hAnsi="Arial" w:cs="Arial"/>
                              <w:color w:val="C00000"/>
                              <w:sz w:val="12"/>
                            </w:rPr>
                            <w:t xml:space="preserve"> </w:t>
                          </w:r>
                          <w:r>
                            <w:rPr>
                              <w:rFonts w:ascii="Arial" w:hAnsi="Arial" w:cs="Arial"/>
                              <w:color w:val="C00000"/>
                              <w:sz w:val="12"/>
                            </w:rPr>
                            <w:t xml:space="preserve"> </w:t>
                          </w:r>
                          <w:r w:rsidRPr="000D79F5">
                            <w:rPr>
                              <w:rFonts w:ascii="Arial" w:hAnsi="Arial" w:cs="Arial"/>
                              <w:color w:val="C00000"/>
                              <w:sz w:val="12"/>
                            </w:rPr>
                            <w:t xml:space="preserve"> W E S T   H A R T F O R D  </w:t>
                          </w:r>
                          <w:r>
                            <w:rPr>
                              <w:rFonts w:ascii="Arial" w:hAnsi="Arial" w:cs="Arial"/>
                              <w:color w:val="C00000"/>
                              <w:sz w:val="12"/>
                            </w:rPr>
                            <w:t xml:space="preserve">   </w:t>
                          </w:r>
                          <w:r w:rsidRPr="000D79F5">
                            <w:rPr>
                              <w:rFonts w:ascii="Arial" w:hAnsi="Arial" w:cs="Arial"/>
                              <w:color w:val="C00000"/>
                              <w:sz w:val="12"/>
                            </w:rPr>
                            <w:t xml:space="preserve">   |   </w:t>
                          </w:r>
                          <w:r>
                            <w:rPr>
                              <w:rFonts w:ascii="Arial" w:hAnsi="Arial" w:cs="Arial"/>
                              <w:color w:val="C00000"/>
                              <w:sz w:val="12"/>
                            </w:rPr>
                            <w:t xml:space="preserve">   </w:t>
                          </w:r>
                          <w:r w:rsidRPr="000D79F5">
                            <w:rPr>
                              <w:rFonts w:ascii="Arial" w:hAnsi="Arial" w:cs="Arial"/>
                              <w:color w:val="C00000"/>
                              <w:sz w:val="12"/>
                            </w:rPr>
                            <w:t xml:space="preserve">  N A P L E S </w:t>
                          </w:r>
                          <w:r>
                            <w:rPr>
                              <w:rFonts w:ascii="Arial" w:hAnsi="Arial" w:cs="Arial"/>
                              <w:color w:val="C00000"/>
                              <w:sz w:val="12"/>
                            </w:rPr>
                            <w:t xml:space="preserve">  </w:t>
                          </w:r>
                          <w:r w:rsidRPr="000D79F5">
                            <w:rPr>
                              <w:rFonts w:ascii="Arial" w:hAnsi="Arial" w:cs="Arial"/>
                              <w:color w:val="C00000"/>
                              <w:sz w:val="12"/>
                            </w:rPr>
                            <w:t xml:space="preserve"> </w:t>
                          </w:r>
                          <w:r>
                            <w:rPr>
                              <w:rFonts w:ascii="Arial" w:hAnsi="Arial" w:cs="Arial"/>
                              <w:color w:val="C00000"/>
                              <w:sz w:val="12"/>
                            </w:rPr>
                            <w:t xml:space="preserve"> </w:t>
                          </w:r>
                          <w:r w:rsidRPr="000D79F5">
                            <w:rPr>
                              <w:rFonts w:ascii="Arial" w:hAnsi="Arial" w:cs="Arial"/>
                              <w:color w:val="C00000"/>
                              <w:sz w:val="12"/>
                            </w:rPr>
                            <w:t xml:space="preserve">   |  </w:t>
                          </w:r>
                          <w:r>
                            <w:rPr>
                              <w:rFonts w:ascii="Arial" w:hAnsi="Arial" w:cs="Arial"/>
                              <w:color w:val="C00000"/>
                              <w:sz w:val="12"/>
                            </w:rPr>
                            <w:t xml:space="preserve">  </w:t>
                          </w:r>
                          <w:r w:rsidRPr="000D79F5">
                            <w:rPr>
                              <w:rFonts w:ascii="Arial" w:hAnsi="Arial" w:cs="Arial"/>
                              <w:color w:val="C00000"/>
                              <w:sz w:val="12"/>
                            </w:rPr>
                            <w:t xml:space="preserve"> </w:t>
                          </w:r>
                          <w:r>
                            <w:rPr>
                              <w:rFonts w:ascii="Arial" w:hAnsi="Arial" w:cs="Arial"/>
                              <w:color w:val="C00000"/>
                              <w:sz w:val="12"/>
                            </w:rPr>
                            <w:t xml:space="preserve"> </w:t>
                          </w:r>
                          <w:r w:rsidRPr="000D79F5">
                            <w:rPr>
                              <w:rFonts w:ascii="Arial" w:hAnsi="Arial" w:cs="Arial"/>
                              <w:color w:val="C00000"/>
                              <w:sz w:val="12"/>
                            </w:rPr>
                            <w:t xml:space="preserve">  B O N I T A   S P R I N G S </w:t>
                          </w:r>
                          <w:r>
                            <w:rPr>
                              <w:rFonts w:ascii="Arial" w:hAnsi="Arial" w:cs="Arial"/>
                              <w:color w:val="C00000"/>
                              <w:sz w:val="12"/>
                            </w:rPr>
                            <w:t xml:space="preserve"> </w:t>
                          </w:r>
                          <w:r w:rsidRPr="000D79F5">
                            <w:rPr>
                              <w:rFonts w:ascii="Arial" w:hAnsi="Arial" w:cs="Arial"/>
                              <w:color w:val="C00000"/>
                              <w:sz w:val="12"/>
                            </w:rPr>
                            <w:t xml:space="preserve"> </w:t>
                          </w:r>
                          <w:r>
                            <w:rPr>
                              <w:rFonts w:ascii="Arial" w:hAnsi="Arial" w:cs="Arial"/>
                              <w:color w:val="C00000"/>
                              <w:sz w:val="12"/>
                            </w:rPr>
                            <w:t xml:space="preserve">  </w:t>
                          </w:r>
                          <w:r w:rsidRPr="000D79F5">
                            <w:rPr>
                              <w:rFonts w:ascii="Arial" w:hAnsi="Arial" w:cs="Arial"/>
                              <w:color w:val="C00000"/>
                              <w:sz w:val="12"/>
                            </w:rPr>
                            <w:t xml:space="preserve">   |  </w:t>
                          </w:r>
                          <w:r>
                            <w:rPr>
                              <w:rFonts w:ascii="Arial" w:hAnsi="Arial" w:cs="Arial"/>
                              <w:color w:val="C00000"/>
                              <w:sz w:val="12"/>
                            </w:rPr>
                            <w:t xml:space="preserve">   </w:t>
                          </w:r>
                          <w:r w:rsidRPr="000D79F5">
                            <w:rPr>
                              <w:rFonts w:ascii="Arial" w:hAnsi="Arial" w:cs="Arial"/>
                              <w:color w:val="C00000"/>
                              <w:sz w:val="12"/>
                            </w:rPr>
                            <w:t xml:space="preserve">   P A L M   B E A C H   G A R D E N S</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8ADAB" id="_x0000_t202" coordsize="21600,21600" o:spt="202" path="m,l,21600r21600,l21600,xe">
              <v:stroke joinstyle="miter"/>
              <v:path gradientshapeok="t" o:connecttype="rect"/>
            </v:shapetype>
            <v:shape id="Text Box 9" o:spid="_x0000_s1028" type="#_x0000_t202" style="position:absolute;margin-left:-33.95pt;margin-top:757.45pt;width:531.3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" o:allowincell="f" fillcolor="window" stroked="f" strokeweight=".5pt">
              <v:textbox>
                <w:txbxContent>
                  <w:p w14:paraId="677D366E" w14:textId="77777777" w:rsidR="00A538B7" w:rsidRPr="000D79F5" w:rsidRDefault="00A538B7" w:rsidP="00A538B7">
                    <w:pPr>
                      <w:rPr>
                        <w:rFonts w:ascii="Arial" w:hAnsi="Arial" w:cs="Arial"/>
                        <w:color w:val="C00000"/>
                        <w:sz w:val="12"/>
                      </w:rPr>
                    </w:pPr>
                    <w:bookmarkStart w:id="5" w:name="clFirmLogo2"/>
                    <w:r w:rsidRPr="000D79F5">
                      <w:rPr>
                        <w:rFonts w:ascii="Arial" w:hAnsi="Arial" w:cs="Arial"/>
                        <w:color w:val="C00000"/>
                        <w:sz w:val="12"/>
                      </w:rPr>
                      <w:t xml:space="preserve">S T A M F O R D  </w:t>
                    </w:r>
                    <w:r>
                      <w:rPr>
                        <w:rFonts w:ascii="Arial" w:hAnsi="Arial" w:cs="Arial"/>
                        <w:color w:val="C00000"/>
                        <w:sz w:val="12"/>
                      </w:rPr>
                      <w:t xml:space="preserve">   </w:t>
                    </w:r>
                    <w:r w:rsidRPr="000D79F5">
                      <w:rPr>
                        <w:rFonts w:ascii="Arial" w:hAnsi="Arial" w:cs="Arial"/>
                        <w:color w:val="C00000"/>
                        <w:sz w:val="12"/>
                      </w:rPr>
                      <w:t xml:space="preserve">   |    </w:t>
                    </w:r>
                    <w:r>
                      <w:rPr>
                        <w:rFonts w:ascii="Arial" w:hAnsi="Arial" w:cs="Arial"/>
                        <w:color w:val="C00000"/>
                        <w:sz w:val="12"/>
                      </w:rPr>
                      <w:t xml:space="preserve">   </w:t>
                    </w:r>
                    <w:r w:rsidRPr="000D79F5">
                      <w:rPr>
                        <w:rFonts w:ascii="Arial" w:hAnsi="Arial" w:cs="Arial"/>
                        <w:color w:val="C00000"/>
                        <w:sz w:val="12"/>
                      </w:rPr>
                      <w:t xml:space="preserve"> G R E </w:t>
                    </w:r>
                    <w:proofErr w:type="spellStart"/>
                    <w:r w:rsidRPr="000D79F5">
                      <w:rPr>
                        <w:rFonts w:ascii="Arial" w:hAnsi="Arial" w:cs="Arial"/>
                        <w:color w:val="C00000"/>
                        <w:sz w:val="12"/>
                      </w:rPr>
                      <w:t>E</w:t>
                    </w:r>
                    <w:proofErr w:type="spellEnd"/>
                    <w:r w:rsidRPr="000D79F5">
                      <w:rPr>
                        <w:rFonts w:ascii="Arial" w:hAnsi="Arial" w:cs="Arial"/>
                        <w:color w:val="C00000"/>
                        <w:sz w:val="12"/>
                      </w:rPr>
                      <w:t xml:space="preserve"> N W I C H </w:t>
                    </w:r>
                    <w:r>
                      <w:rPr>
                        <w:rFonts w:ascii="Arial" w:hAnsi="Arial" w:cs="Arial"/>
                        <w:color w:val="C00000"/>
                        <w:sz w:val="12"/>
                      </w:rPr>
                      <w:t xml:space="preserve"> </w:t>
                    </w:r>
                    <w:r w:rsidRPr="000D79F5">
                      <w:rPr>
                        <w:rFonts w:ascii="Arial" w:hAnsi="Arial" w:cs="Arial"/>
                        <w:color w:val="C00000"/>
                        <w:sz w:val="12"/>
                      </w:rPr>
                      <w:t xml:space="preserve"> </w:t>
                    </w:r>
                    <w:r>
                      <w:rPr>
                        <w:rFonts w:ascii="Arial" w:hAnsi="Arial" w:cs="Arial"/>
                        <w:color w:val="C00000"/>
                        <w:sz w:val="12"/>
                      </w:rPr>
                      <w:t xml:space="preserve"> </w:t>
                    </w:r>
                    <w:r w:rsidRPr="000D79F5">
                      <w:rPr>
                        <w:rFonts w:ascii="Arial" w:hAnsi="Arial" w:cs="Arial"/>
                        <w:color w:val="C00000"/>
                        <w:sz w:val="12"/>
                      </w:rPr>
                      <w:t xml:space="preserve"> </w:t>
                    </w:r>
                    <w:r>
                      <w:rPr>
                        <w:rFonts w:ascii="Arial" w:hAnsi="Arial" w:cs="Arial"/>
                        <w:color w:val="C00000"/>
                        <w:sz w:val="12"/>
                      </w:rPr>
                      <w:t xml:space="preserve"> </w:t>
                    </w:r>
                    <w:r w:rsidRPr="000D79F5">
                      <w:rPr>
                        <w:rFonts w:ascii="Arial" w:hAnsi="Arial" w:cs="Arial"/>
                        <w:color w:val="C00000"/>
                        <w:sz w:val="12"/>
                      </w:rPr>
                      <w:t xml:space="preserve">  |  </w:t>
                    </w:r>
                    <w:r>
                      <w:rPr>
                        <w:rFonts w:ascii="Arial" w:hAnsi="Arial" w:cs="Arial"/>
                        <w:color w:val="C00000"/>
                        <w:sz w:val="12"/>
                      </w:rPr>
                      <w:t xml:space="preserve"> </w:t>
                    </w:r>
                    <w:r w:rsidRPr="000D79F5">
                      <w:rPr>
                        <w:rFonts w:ascii="Arial" w:hAnsi="Arial" w:cs="Arial"/>
                        <w:color w:val="C00000"/>
                        <w:sz w:val="12"/>
                      </w:rPr>
                      <w:t xml:space="preserve"> </w:t>
                    </w:r>
                    <w:r>
                      <w:rPr>
                        <w:rFonts w:ascii="Arial" w:hAnsi="Arial" w:cs="Arial"/>
                        <w:color w:val="C00000"/>
                        <w:sz w:val="12"/>
                      </w:rPr>
                      <w:t xml:space="preserve"> </w:t>
                    </w:r>
                    <w:r w:rsidRPr="000D79F5">
                      <w:rPr>
                        <w:rFonts w:ascii="Arial" w:hAnsi="Arial" w:cs="Arial"/>
                        <w:color w:val="C00000"/>
                        <w:sz w:val="12"/>
                      </w:rPr>
                      <w:t xml:space="preserve"> </w:t>
                    </w:r>
                    <w:r>
                      <w:rPr>
                        <w:rFonts w:ascii="Arial" w:hAnsi="Arial" w:cs="Arial"/>
                        <w:color w:val="C00000"/>
                        <w:sz w:val="12"/>
                      </w:rPr>
                      <w:t xml:space="preserve"> </w:t>
                    </w:r>
                    <w:r w:rsidRPr="000D79F5">
                      <w:rPr>
                        <w:rFonts w:ascii="Arial" w:hAnsi="Arial" w:cs="Arial"/>
                        <w:color w:val="C00000"/>
                        <w:sz w:val="12"/>
                      </w:rPr>
                      <w:t xml:space="preserve"> W E S T   H A R T F O R D  </w:t>
                    </w:r>
                    <w:r>
                      <w:rPr>
                        <w:rFonts w:ascii="Arial" w:hAnsi="Arial" w:cs="Arial"/>
                        <w:color w:val="C00000"/>
                        <w:sz w:val="12"/>
                      </w:rPr>
                      <w:t xml:space="preserve">   </w:t>
                    </w:r>
                    <w:r w:rsidRPr="000D79F5">
                      <w:rPr>
                        <w:rFonts w:ascii="Arial" w:hAnsi="Arial" w:cs="Arial"/>
                        <w:color w:val="C00000"/>
                        <w:sz w:val="12"/>
                      </w:rPr>
                      <w:t xml:space="preserve">   |   </w:t>
                    </w:r>
                    <w:r>
                      <w:rPr>
                        <w:rFonts w:ascii="Arial" w:hAnsi="Arial" w:cs="Arial"/>
                        <w:color w:val="C00000"/>
                        <w:sz w:val="12"/>
                      </w:rPr>
                      <w:t xml:space="preserve">   </w:t>
                    </w:r>
                    <w:r w:rsidRPr="000D79F5">
                      <w:rPr>
                        <w:rFonts w:ascii="Arial" w:hAnsi="Arial" w:cs="Arial"/>
                        <w:color w:val="C00000"/>
                        <w:sz w:val="12"/>
                      </w:rPr>
                      <w:t xml:space="preserve">  N A P L E S </w:t>
                    </w:r>
                    <w:r>
                      <w:rPr>
                        <w:rFonts w:ascii="Arial" w:hAnsi="Arial" w:cs="Arial"/>
                        <w:color w:val="C00000"/>
                        <w:sz w:val="12"/>
                      </w:rPr>
                      <w:t xml:space="preserve">  </w:t>
                    </w:r>
                    <w:r w:rsidRPr="000D79F5">
                      <w:rPr>
                        <w:rFonts w:ascii="Arial" w:hAnsi="Arial" w:cs="Arial"/>
                        <w:color w:val="C00000"/>
                        <w:sz w:val="12"/>
                      </w:rPr>
                      <w:t xml:space="preserve"> </w:t>
                    </w:r>
                    <w:r>
                      <w:rPr>
                        <w:rFonts w:ascii="Arial" w:hAnsi="Arial" w:cs="Arial"/>
                        <w:color w:val="C00000"/>
                        <w:sz w:val="12"/>
                      </w:rPr>
                      <w:t xml:space="preserve"> </w:t>
                    </w:r>
                    <w:r w:rsidRPr="000D79F5">
                      <w:rPr>
                        <w:rFonts w:ascii="Arial" w:hAnsi="Arial" w:cs="Arial"/>
                        <w:color w:val="C00000"/>
                        <w:sz w:val="12"/>
                      </w:rPr>
                      <w:t xml:space="preserve">   |  </w:t>
                    </w:r>
                    <w:r>
                      <w:rPr>
                        <w:rFonts w:ascii="Arial" w:hAnsi="Arial" w:cs="Arial"/>
                        <w:color w:val="C00000"/>
                        <w:sz w:val="12"/>
                      </w:rPr>
                      <w:t xml:space="preserve">  </w:t>
                    </w:r>
                    <w:r w:rsidRPr="000D79F5">
                      <w:rPr>
                        <w:rFonts w:ascii="Arial" w:hAnsi="Arial" w:cs="Arial"/>
                        <w:color w:val="C00000"/>
                        <w:sz w:val="12"/>
                      </w:rPr>
                      <w:t xml:space="preserve"> </w:t>
                    </w:r>
                    <w:r>
                      <w:rPr>
                        <w:rFonts w:ascii="Arial" w:hAnsi="Arial" w:cs="Arial"/>
                        <w:color w:val="C00000"/>
                        <w:sz w:val="12"/>
                      </w:rPr>
                      <w:t xml:space="preserve"> </w:t>
                    </w:r>
                    <w:r w:rsidRPr="000D79F5">
                      <w:rPr>
                        <w:rFonts w:ascii="Arial" w:hAnsi="Arial" w:cs="Arial"/>
                        <w:color w:val="C00000"/>
                        <w:sz w:val="12"/>
                      </w:rPr>
                      <w:t xml:space="preserve">  B O N I T A   S P R I N G S </w:t>
                    </w:r>
                    <w:r>
                      <w:rPr>
                        <w:rFonts w:ascii="Arial" w:hAnsi="Arial" w:cs="Arial"/>
                        <w:color w:val="C00000"/>
                        <w:sz w:val="12"/>
                      </w:rPr>
                      <w:t xml:space="preserve"> </w:t>
                    </w:r>
                    <w:r w:rsidRPr="000D79F5">
                      <w:rPr>
                        <w:rFonts w:ascii="Arial" w:hAnsi="Arial" w:cs="Arial"/>
                        <w:color w:val="C00000"/>
                        <w:sz w:val="12"/>
                      </w:rPr>
                      <w:t xml:space="preserve"> </w:t>
                    </w:r>
                    <w:r>
                      <w:rPr>
                        <w:rFonts w:ascii="Arial" w:hAnsi="Arial" w:cs="Arial"/>
                        <w:color w:val="C00000"/>
                        <w:sz w:val="12"/>
                      </w:rPr>
                      <w:t xml:space="preserve">  </w:t>
                    </w:r>
                    <w:r w:rsidRPr="000D79F5">
                      <w:rPr>
                        <w:rFonts w:ascii="Arial" w:hAnsi="Arial" w:cs="Arial"/>
                        <w:color w:val="C00000"/>
                        <w:sz w:val="12"/>
                      </w:rPr>
                      <w:t xml:space="preserve">   |  </w:t>
                    </w:r>
                    <w:r>
                      <w:rPr>
                        <w:rFonts w:ascii="Arial" w:hAnsi="Arial" w:cs="Arial"/>
                        <w:color w:val="C00000"/>
                        <w:sz w:val="12"/>
                      </w:rPr>
                      <w:t xml:space="preserve">   </w:t>
                    </w:r>
                    <w:r w:rsidRPr="000D79F5">
                      <w:rPr>
                        <w:rFonts w:ascii="Arial" w:hAnsi="Arial" w:cs="Arial"/>
                        <w:color w:val="C00000"/>
                        <w:sz w:val="12"/>
                      </w:rPr>
                      <w:t xml:space="preserve">   P A L M   B E A C H   G A R D E N S</w:t>
                    </w:r>
                    <w:bookmarkEnd w:id="5"/>
                  </w:p>
                </w:txbxContent>
              </v:textbox>
              <w10:wrap type="topAndBottom"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05DD5" w14:textId="77777777" w:rsidR="002E44DE" w:rsidRDefault="002E44DE" w:rsidP="00B878D5">
      <w:r>
        <w:separator/>
      </w:r>
    </w:p>
  </w:footnote>
  <w:footnote w:type="continuationSeparator" w:id="0">
    <w:p w14:paraId="34C0B330" w14:textId="77777777" w:rsidR="002E44DE" w:rsidRDefault="002E44DE" w:rsidP="00B8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9571F" w14:textId="77777777" w:rsidR="002E44DE" w:rsidRDefault="002E44DE" w:rsidP="00586391">
    <w:pPr>
      <w:pStyle w:val="Header"/>
    </w:pPr>
    <w:r>
      <w:tab/>
      <w:t>-</w:t>
    </w:r>
    <w:r>
      <w:fldChar w:fldCharType="begin"/>
    </w:r>
    <w:r>
      <w:instrText xml:space="preserve"> PAGE  \* MERGEFORMAT </w:instrText>
    </w:r>
    <w:r>
      <w:fldChar w:fldCharType="separate"/>
    </w:r>
    <w:r>
      <w:rPr>
        <w:noProof/>
      </w:rPr>
      <w:t>6</w:t>
    </w:r>
    <w:r>
      <w:fldChar w:fldCharType="end"/>
    </w:r>
    <w:r>
      <w:t>-</w:t>
    </w:r>
    <w:r>
      <w:tab/>
      <w:t>October 2021</w:t>
    </w:r>
  </w:p>
  <w:p w14:paraId="0EA02F02" w14:textId="77777777" w:rsidR="002E44DE" w:rsidRPr="00586391" w:rsidRDefault="002E44DE" w:rsidP="00586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FD0B6" w14:textId="045B6DB2" w:rsidR="002E44DE" w:rsidRDefault="00F51DE7" w:rsidP="00586391">
    <w:pPr>
      <w:pStyle w:val="Header"/>
    </w:pPr>
    <w:r>
      <w:rPr>
        <w:noProof/>
      </w:rPr>
      <mc:AlternateContent>
        <mc:Choice Requires="wps">
          <w:drawing>
            <wp:anchor distT="0" distB="0" distL="114300" distR="114300" simplePos="0" relativeHeight="251661312" behindDoc="0" locked="0" layoutInCell="1" allowOverlap="1" wp14:anchorId="428BEDFA" wp14:editId="6EA11B6C">
              <wp:simplePos x="0" y="0"/>
              <wp:positionH relativeFrom="column">
                <wp:posOffset>-571500</wp:posOffset>
              </wp:positionH>
              <wp:positionV relativeFrom="paragraph">
                <wp:posOffset>182245</wp:posOffset>
              </wp:positionV>
              <wp:extent cx="2828925" cy="347345"/>
              <wp:effectExtent l="0" t="0" r="9525" b="0"/>
              <wp:wrapTopAndBottom/>
              <wp:docPr id="3" name="Text Box 3"/>
              <wp:cNvGraphicFramePr/>
              <a:graphic xmlns:a="http://schemas.openxmlformats.org/drawingml/2006/main">
                <a:graphicData uri="http://schemas.microsoft.com/office/word/2010/wordprocessingShape">
                  <wps:wsp>
                    <wps:cNvSpPr txBox="1"/>
                    <wps:spPr>
                      <a:xfrm>
                        <a:off x="0" y="0"/>
                        <a:ext cx="2828925" cy="347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B468F" w14:textId="77777777" w:rsidR="00F51DE7" w:rsidRDefault="00F51DE7" w:rsidP="00F51DE7">
                          <w:bookmarkStart w:id="2" w:name="clFirmLogo1"/>
                          <w:r>
                            <w:rPr>
                              <w:noProof/>
                            </w:rPr>
                            <w:drawing>
                              <wp:inline distT="0" distB="0" distL="0" distR="0" wp14:anchorId="6D3C5DB0" wp14:editId="3FE30C4B">
                                <wp:extent cx="2583815" cy="24955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BackgroundResizedCL_B.R_Logo_2012.jpg"/>
                                        <pic:cNvPicPr/>
                                      </pic:nvPicPr>
                                      <pic:blipFill>
                                        <a:blip r:embed="rId1">
                                          <a:extLst>
                                            <a:ext uri="{28A0092B-C50C-407E-A947-70E740481C1C}">
                                              <a14:useLocalDpi xmlns:a14="http://schemas.microsoft.com/office/drawing/2010/main" val="0"/>
                                            </a:ext>
                                          </a:extLst>
                                        </a:blip>
                                        <a:stretch>
                                          <a:fillRect/>
                                        </a:stretch>
                                      </pic:blipFill>
                                      <pic:spPr>
                                        <a:xfrm>
                                          <a:off x="0" y="0"/>
                                          <a:ext cx="2583815" cy="249555"/>
                                        </a:xfrm>
                                        <a:prstGeom prst="rect">
                                          <a:avLst/>
                                        </a:prstGeom>
                                      </pic:spPr>
                                    </pic:pic>
                                  </a:graphicData>
                                </a:graphic>
                              </wp:inline>
                            </w:drawing>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BEDFA" id="_x0000_t202" coordsize="21600,21600" o:spt="202" path="m,l,21600r21600,l21600,xe">
              <v:stroke joinstyle="miter"/>
              <v:path gradientshapeok="t" o:connecttype="rect"/>
            </v:shapetype>
            <v:shape id="Text Box 3" o:spid="_x0000_s1026" type="#_x0000_t202" style="position:absolute;margin-left:-45pt;margin-top:14.35pt;width:222.75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" fillcolor="white [3201]" stroked="f" strokeweight=".5pt">
              <v:textbox>
                <w:txbxContent>
                  <w:p w14:paraId="075B468F" w14:textId="77777777" w:rsidR="00F51DE7" w:rsidRDefault="00F51DE7" w:rsidP="00F51DE7">
                    <w:bookmarkStart w:id="3" w:name="clFirmLogo1"/>
                    <w:r>
                      <w:rPr>
                        <w:noProof/>
                      </w:rPr>
                      <w:drawing>
                        <wp:inline distT="0" distB="0" distL="0" distR="0" wp14:anchorId="6D3C5DB0" wp14:editId="3FE30C4B">
                          <wp:extent cx="2583815" cy="24955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BackgroundResizedCL_B.R_Logo_2012.jpg"/>
                                  <pic:cNvPicPr/>
                                </pic:nvPicPr>
                                <pic:blipFill>
                                  <a:blip r:embed="rId2">
                                    <a:extLst>
                                      <a:ext uri="{28A0092B-C50C-407E-A947-70E740481C1C}">
                                        <a14:useLocalDpi xmlns:a14="http://schemas.microsoft.com/office/drawing/2010/main" val="0"/>
                                      </a:ext>
                                    </a:extLst>
                                  </a:blip>
                                  <a:stretch>
                                    <a:fillRect/>
                                  </a:stretch>
                                </pic:blipFill>
                                <pic:spPr>
                                  <a:xfrm>
                                    <a:off x="0" y="0"/>
                                    <a:ext cx="2583815" cy="249555"/>
                                  </a:xfrm>
                                  <a:prstGeom prst="rect">
                                    <a:avLst/>
                                  </a:prstGeom>
                                </pic:spPr>
                              </pic:pic>
                            </a:graphicData>
                          </a:graphic>
                        </wp:inline>
                      </w:drawing>
                    </w:r>
                    <w:bookmarkEnd w:id="3"/>
                  </w:p>
                </w:txbxContent>
              </v:textbox>
              <w10:wrap type="topAndBottom"/>
            </v:shape>
          </w:pict>
        </mc:Fallback>
      </mc:AlternateContent>
    </w:r>
    <w:r w:rsidR="002E44DE">
      <w:rPr>
        <w:noProof/>
      </w:rPr>
      <mc:AlternateContent>
        <mc:Choice Requires="wps">
          <w:drawing>
            <wp:anchor distT="0" distB="0" distL="114300" distR="114300" simplePos="0" relativeHeight="251659264" behindDoc="1" locked="1" layoutInCell="1" allowOverlap="1" wp14:anchorId="26FA77E3" wp14:editId="71D5FE67">
              <wp:simplePos x="0" y="0"/>
              <wp:positionH relativeFrom="margin">
                <wp:posOffset>2190750</wp:posOffset>
              </wp:positionH>
              <wp:positionV relativeFrom="paragraph">
                <wp:posOffset>9525</wp:posOffset>
              </wp:positionV>
              <wp:extent cx="3805555" cy="2235200"/>
              <wp:effectExtent l="0" t="0" r="0" b="0"/>
              <wp:wrapTight wrapText="right">
                <wp:wrapPolygon edited="0">
                  <wp:start x="216" y="0"/>
                  <wp:lineTo x="216" y="21355"/>
                  <wp:lineTo x="21193" y="21355"/>
                  <wp:lineTo x="21193" y="0"/>
                  <wp:lineTo x="216"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223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DB0F0" w14:textId="77777777" w:rsidR="002E44DE" w:rsidRDefault="002E44DE" w:rsidP="00586391">
                          <w:pPr>
                            <w:pStyle w:val="CLAddress"/>
                          </w:pPr>
                          <w:smartTag w:uri="urn:schemas-microsoft-com:office:smarttags" w:element="Street">
                            <w:smartTag w:uri="urn:schemas-microsoft-com:office:smarttags" w:element="address">
                              <w:r>
                                <w:t>Six Landmark Square</w:t>
                              </w:r>
                            </w:smartTag>
                          </w:smartTag>
                          <w:r>
                            <w:tab/>
                          </w:r>
                          <w:r>
                            <w:tab/>
                          </w:r>
                          <w:r>
                            <w:tab/>
                            <w:t>3001 Tamiami Trail North</w:t>
                          </w:r>
                          <w:r>
                            <w:tab/>
                          </w:r>
                        </w:p>
                        <w:p w14:paraId="0BC9BEA2" w14:textId="77777777" w:rsidR="002E44DE" w:rsidRDefault="002E44DE" w:rsidP="00586391">
                          <w:pPr>
                            <w:pStyle w:val="CLAddress"/>
                          </w:pPr>
                          <w:smartTag w:uri="urn:schemas-microsoft-com:office:smarttags" w:element="City">
                            <w:r>
                              <w:t>Stamford</w:t>
                            </w:r>
                          </w:smartTag>
                          <w:r>
                            <w:t xml:space="preserve">, </w:t>
                          </w:r>
                          <w:smartTag w:uri="urn:schemas-microsoft-com:office:smarttags" w:element="State">
                            <w:r>
                              <w:t>CT</w:t>
                            </w:r>
                          </w:smartTag>
                          <w:r>
                            <w:t xml:space="preserve">  </w:t>
                          </w:r>
                          <w:smartTag w:uri="urn:schemas-microsoft-com:office:smarttags" w:element="PostalCode">
                            <w:r>
                              <w:t>06902</w:t>
                            </w:r>
                          </w:smartTag>
                          <w:r>
                            <w:tab/>
                          </w:r>
                          <w:r>
                            <w:tab/>
                          </w:r>
                          <w:r>
                            <w:tab/>
                            <w:t xml:space="preserve">Naples, </w:t>
                          </w:r>
                          <w:smartTag w:uri="urn:schemas-microsoft-com:office:smarttags" w:element="State">
                            <w:r>
                              <w:t>FL</w:t>
                            </w:r>
                          </w:smartTag>
                          <w:r>
                            <w:t xml:space="preserve">  </w:t>
                          </w:r>
                          <w:smartTag w:uri="urn:schemas-microsoft-com:office:smarttags" w:element="PostalCode">
                            <w:r>
                              <w:t>34103</w:t>
                            </w:r>
                          </w:smartTag>
                          <w:r>
                            <w:tab/>
                          </w:r>
                        </w:p>
                        <w:p w14:paraId="55A2FF5A" w14:textId="77777777" w:rsidR="002E44DE" w:rsidRDefault="002E44DE" w:rsidP="00586391">
                          <w:pPr>
                            <w:pStyle w:val="CLAddress"/>
                          </w:pPr>
                          <w:r>
                            <w:t>203.327.1700  Phone</w:t>
                          </w:r>
                          <w:r>
                            <w:tab/>
                          </w:r>
                          <w:r>
                            <w:tab/>
                            <w:t>239.262.8311  Phone</w:t>
                          </w:r>
                          <w:r>
                            <w:tab/>
                          </w:r>
                        </w:p>
                        <w:p w14:paraId="692B09DE" w14:textId="77777777" w:rsidR="002E44DE" w:rsidRDefault="002E44DE" w:rsidP="00586391">
                          <w:pPr>
                            <w:pStyle w:val="CLAddress"/>
                          </w:pPr>
                          <w:r>
                            <w:t>203.351.4534  Fax</w:t>
                          </w:r>
                          <w:r>
                            <w:tab/>
                          </w:r>
                          <w:r>
                            <w:tab/>
                          </w:r>
                          <w:r>
                            <w:tab/>
                            <w:t>239.263.07032  Fax</w:t>
                          </w:r>
                          <w:r>
                            <w:tab/>
                          </w:r>
                        </w:p>
                        <w:p w14:paraId="33267240" w14:textId="77777777" w:rsidR="002E44DE" w:rsidRDefault="002E44DE" w:rsidP="00586391">
                          <w:pPr>
                            <w:pStyle w:val="CLAddress"/>
                          </w:pPr>
                          <w:r>
                            <w:tab/>
                          </w:r>
                        </w:p>
                        <w:p w14:paraId="64F9CA9A" w14:textId="77777777" w:rsidR="002E44DE" w:rsidRDefault="002E44DE" w:rsidP="00586391">
                          <w:pPr>
                            <w:pStyle w:val="CLAddress"/>
                          </w:pPr>
                          <w:r>
                            <w:t>Two Greenwich Plaza</w:t>
                          </w:r>
                          <w:r>
                            <w:tab/>
                          </w:r>
                          <w:r>
                            <w:tab/>
                            <w:t>8000 Health Center Blvd., Suite 300</w:t>
                          </w:r>
                        </w:p>
                        <w:p w14:paraId="5DDE6F7A" w14:textId="77777777" w:rsidR="002E44DE" w:rsidRDefault="002E44DE" w:rsidP="00586391">
                          <w:pPr>
                            <w:pStyle w:val="CLAddress"/>
                          </w:pPr>
                          <w:r>
                            <w:t>Greenwich, CT  06830</w:t>
                          </w:r>
                          <w:r>
                            <w:tab/>
                          </w:r>
                          <w:r>
                            <w:tab/>
                            <w:t xml:space="preserve">Bonita </w:t>
                          </w:r>
                          <w:smartTag w:uri="urn:schemas-microsoft-com:office:smarttags" w:element="PlaceName">
                            <w:r>
                              <w:t>Springs</w:t>
                            </w:r>
                          </w:smartTag>
                          <w:r>
                            <w:t>, FL  34135</w:t>
                          </w:r>
                        </w:p>
                        <w:p w14:paraId="39678CFD" w14:textId="77777777" w:rsidR="002E44DE" w:rsidRDefault="002E44DE" w:rsidP="00586391">
                          <w:pPr>
                            <w:pStyle w:val="CLAddress"/>
                          </w:pPr>
                          <w:r>
                            <w:t>203.869.1200  Phone</w:t>
                          </w:r>
                          <w:r>
                            <w:tab/>
                          </w:r>
                          <w:r>
                            <w:tab/>
                            <w:t>239.947.8811  Phone</w:t>
                          </w:r>
                        </w:p>
                        <w:p w14:paraId="54988E71" w14:textId="77777777" w:rsidR="002E44DE" w:rsidRDefault="002E44DE" w:rsidP="00586391">
                          <w:pPr>
                            <w:pStyle w:val="CLAddress"/>
                          </w:pPr>
                          <w:r>
                            <w:t>203.869.3120  Fax</w:t>
                          </w:r>
                          <w:r>
                            <w:tab/>
                          </w:r>
                          <w:r>
                            <w:tab/>
                          </w:r>
                          <w:r>
                            <w:tab/>
                            <w:t>239.947.8025  Fax</w:t>
                          </w:r>
                        </w:p>
                        <w:p w14:paraId="7B9D584B" w14:textId="77777777" w:rsidR="002E44DE" w:rsidRDefault="002E44DE" w:rsidP="00586391">
                          <w:pPr>
                            <w:pStyle w:val="CLAddress"/>
                          </w:pPr>
                        </w:p>
                        <w:p w14:paraId="5E512DE1" w14:textId="77777777" w:rsidR="002E44DE" w:rsidRDefault="002E44DE" w:rsidP="00586391">
                          <w:pPr>
                            <w:pStyle w:val="CLAddress"/>
                            <w:rPr>
                              <w:highlight w:val="yellow"/>
                            </w:rPr>
                          </w:pPr>
                          <w:r>
                            <w:t>75 Isham Road, Suite 400</w:t>
                          </w:r>
                          <w:r>
                            <w:tab/>
                          </w:r>
                          <w:r>
                            <w:tab/>
                            <w:t>3001 PGA Boulevard, Suite 104</w:t>
                          </w:r>
                        </w:p>
                        <w:p w14:paraId="6B59FBA9" w14:textId="77777777" w:rsidR="002E44DE" w:rsidRDefault="002E44DE" w:rsidP="00586391">
                          <w:pPr>
                            <w:pStyle w:val="CLAddress"/>
                          </w:pPr>
                          <w:r>
                            <w:t xml:space="preserve">West Hartford, </w:t>
                          </w:r>
                          <w:smartTag w:uri="urn:schemas-microsoft-com:office:smarttags" w:element="State">
                            <w:r>
                              <w:t>CT</w:t>
                            </w:r>
                          </w:smartTag>
                          <w:r>
                            <w:t xml:space="preserve">  06107</w:t>
                          </w:r>
                          <w:r>
                            <w:tab/>
                          </w:r>
                          <w:r>
                            <w:tab/>
                            <w:t xml:space="preserve">Palm Beach Gardens, FL  </w:t>
                          </w:r>
                          <w:r w:rsidRPr="00AB7361">
                            <w:t>33410</w:t>
                          </w:r>
                        </w:p>
                        <w:p w14:paraId="761863F3" w14:textId="77777777" w:rsidR="002E44DE" w:rsidRDefault="002E44DE" w:rsidP="00586391">
                          <w:pPr>
                            <w:pStyle w:val="CLAddress"/>
                          </w:pPr>
                          <w:r>
                            <w:t>860.313.4900  Phone</w:t>
                          </w:r>
                          <w:r>
                            <w:tab/>
                          </w:r>
                          <w:r>
                            <w:tab/>
                            <w:t>561-214-8500  Phone</w:t>
                          </w:r>
                        </w:p>
                        <w:p w14:paraId="20BF4E4D" w14:textId="77777777" w:rsidR="002E44DE" w:rsidRDefault="002E44DE" w:rsidP="00586391">
                          <w:pPr>
                            <w:pStyle w:val="CLAddress"/>
                          </w:pPr>
                          <w:r>
                            <w:t>860.313.4993  Fax</w:t>
                          </w:r>
                          <w:r>
                            <w:tab/>
                          </w:r>
                          <w:r>
                            <w:tab/>
                          </w:r>
                          <w:r>
                            <w:tab/>
                            <w:t>561-214-8514  Fax</w:t>
                          </w:r>
                        </w:p>
                        <w:p w14:paraId="662B9E89" w14:textId="77777777" w:rsidR="002E44DE" w:rsidRDefault="002E44DE" w:rsidP="00586391">
                          <w:pPr>
                            <w:pStyle w:val="CLAddres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A77E3" id="Text Box 1" o:spid="_x0000_s1027" type="#_x0000_t202" style="position:absolute;margin-left:172.5pt;margin-top:.75pt;width:299.65pt;height:17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l8S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" filled="f" stroked="f">
              <v:textbox>
                <w:txbxContent>
                  <w:p w14:paraId="398DB0F0" w14:textId="77777777" w:rsidR="002E44DE" w:rsidRDefault="002E44DE" w:rsidP="00586391">
                    <w:pPr>
                      <w:pStyle w:val="CLAddress"/>
                    </w:pPr>
                    <w:smartTag w:uri="urn:schemas-microsoft-com:office:smarttags" w:element="Street">
                      <w:smartTag w:uri="urn:schemas-microsoft-com:office:smarttags" w:element="address">
                        <w:r>
                          <w:t>Six Landmark Square</w:t>
                        </w:r>
                      </w:smartTag>
                    </w:smartTag>
                    <w:r>
                      <w:tab/>
                    </w:r>
                    <w:r>
                      <w:tab/>
                    </w:r>
                    <w:r>
                      <w:tab/>
                      <w:t>3001 Tamiami Trail North</w:t>
                    </w:r>
                    <w:r>
                      <w:tab/>
                    </w:r>
                  </w:p>
                  <w:p w14:paraId="0BC9BEA2" w14:textId="77777777" w:rsidR="002E44DE" w:rsidRDefault="002E44DE" w:rsidP="00586391">
                    <w:pPr>
                      <w:pStyle w:val="CLAddress"/>
                    </w:pPr>
                    <w:smartTag w:uri="urn:schemas-microsoft-com:office:smarttags" w:element="City">
                      <w:r>
                        <w:t>Stamford</w:t>
                      </w:r>
                    </w:smartTag>
                    <w:r>
                      <w:t xml:space="preserve">, </w:t>
                    </w:r>
                    <w:smartTag w:uri="urn:schemas-microsoft-com:office:smarttags" w:element="State">
                      <w:r>
                        <w:t>CT</w:t>
                      </w:r>
                    </w:smartTag>
                    <w:r>
                      <w:t xml:space="preserve">  </w:t>
                    </w:r>
                    <w:smartTag w:uri="urn:schemas-microsoft-com:office:smarttags" w:element="PostalCode">
                      <w:r>
                        <w:t>06902</w:t>
                      </w:r>
                    </w:smartTag>
                    <w:r>
                      <w:tab/>
                    </w:r>
                    <w:r>
                      <w:tab/>
                    </w:r>
                    <w:r>
                      <w:tab/>
                      <w:t xml:space="preserve">Naples, </w:t>
                    </w:r>
                    <w:smartTag w:uri="urn:schemas-microsoft-com:office:smarttags" w:element="State">
                      <w:r>
                        <w:t>FL</w:t>
                      </w:r>
                    </w:smartTag>
                    <w:r>
                      <w:t xml:space="preserve">  </w:t>
                    </w:r>
                    <w:smartTag w:uri="urn:schemas-microsoft-com:office:smarttags" w:element="PostalCode">
                      <w:r>
                        <w:t>34103</w:t>
                      </w:r>
                    </w:smartTag>
                    <w:r>
                      <w:tab/>
                    </w:r>
                  </w:p>
                  <w:p w14:paraId="55A2FF5A" w14:textId="77777777" w:rsidR="002E44DE" w:rsidRDefault="002E44DE" w:rsidP="00586391">
                    <w:pPr>
                      <w:pStyle w:val="CLAddress"/>
                    </w:pPr>
                    <w:r>
                      <w:t>203.327.1700  Phone</w:t>
                    </w:r>
                    <w:r>
                      <w:tab/>
                    </w:r>
                    <w:r>
                      <w:tab/>
                      <w:t>239.262.8311  Phone</w:t>
                    </w:r>
                    <w:r>
                      <w:tab/>
                    </w:r>
                  </w:p>
                  <w:p w14:paraId="692B09DE" w14:textId="77777777" w:rsidR="002E44DE" w:rsidRDefault="002E44DE" w:rsidP="00586391">
                    <w:pPr>
                      <w:pStyle w:val="CLAddress"/>
                    </w:pPr>
                    <w:r>
                      <w:t>203.351.4534  Fax</w:t>
                    </w:r>
                    <w:r>
                      <w:tab/>
                    </w:r>
                    <w:r>
                      <w:tab/>
                    </w:r>
                    <w:r>
                      <w:tab/>
                      <w:t>239.263.07032  Fax</w:t>
                    </w:r>
                    <w:r>
                      <w:tab/>
                    </w:r>
                  </w:p>
                  <w:p w14:paraId="33267240" w14:textId="77777777" w:rsidR="002E44DE" w:rsidRDefault="002E44DE" w:rsidP="00586391">
                    <w:pPr>
                      <w:pStyle w:val="CLAddress"/>
                    </w:pPr>
                    <w:r>
                      <w:tab/>
                    </w:r>
                  </w:p>
                  <w:p w14:paraId="64F9CA9A" w14:textId="77777777" w:rsidR="002E44DE" w:rsidRDefault="002E44DE" w:rsidP="00586391">
                    <w:pPr>
                      <w:pStyle w:val="CLAddress"/>
                    </w:pPr>
                    <w:r>
                      <w:t>Two Greenwich Plaza</w:t>
                    </w:r>
                    <w:r>
                      <w:tab/>
                    </w:r>
                    <w:r>
                      <w:tab/>
                      <w:t>8000 Health Center Blvd., Suite 300</w:t>
                    </w:r>
                  </w:p>
                  <w:p w14:paraId="5DDE6F7A" w14:textId="77777777" w:rsidR="002E44DE" w:rsidRDefault="002E44DE" w:rsidP="00586391">
                    <w:pPr>
                      <w:pStyle w:val="CLAddress"/>
                    </w:pPr>
                    <w:r>
                      <w:t>Greenwich, CT  06830</w:t>
                    </w:r>
                    <w:r>
                      <w:tab/>
                    </w:r>
                    <w:r>
                      <w:tab/>
                      <w:t xml:space="preserve">Bonita </w:t>
                    </w:r>
                    <w:smartTag w:uri="urn:schemas-microsoft-com:office:smarttags" w:element="PlaceName">
                      <w:r>
                        <w:t>Springs</w:t>
                      </w:r>
                    </w:smartTag>
                    <w:r>
                      <w:t>, FL  34135</w:t>
                    </w:r>
                  </w:p>
                  <w:p w14:paraId="39678CFD" w14:textId="77777777" w:rsidR="002E44DE" w:rsidRDefault="002E44DE" w:rsidP="00586391">
                    <w:pPr>
                      <w:pStyle w:val="CLAddress"/>
                    </w:pPr>
                    <w:r>
                      <w:t>203.869.1200  Phone</w:t>
                    </w:r>
                    <w:r>
                      <w:tab/>
                    </w:r>
                    <w:r>
                      <w:tab/>
                      <w:t>239.947.8811  Phone</w:t>
                    </w:r>
                  </w:p>
                  <w:p w14:paraId="54988E71" w14:textId="77777777" w:rsidR="002E44DE" w:rsidRDefault="002E44DE" w:rsidP="00586391">
                    <w:pPr>
                      <w:pStyle w:val="CLAddress"/>
                    </w:pPr>
                    <w:r>
                      <w:t>203.869.3120  Fax</w:t>
                    </w:r>
                    <w:r>
                      <w:tab/>
                    </w:r>
                    <w:r>
                      <w:tab/>
                    </w:r>
                    <w:r>
                      <w:tab/>
                      <w:t>239.947.8025  Fax</w:t>
                    </w:r>
                  </w:p>
                  <w:p w14:paraId="7B9D584B" w14:textId="77777777" w:rsidR="002E44DE" w:rsidRDefault="002E44DE" w:rsidP="00586391">
                    <w:pPr>
                      <w:pStyle w:val="CLAddress"/>
                    </w:pPr>
                  </w:p>
                  <w:p w14:paraId="5E512DE1" w14:textId="77777777" w:rsidR="002E44DE" w:rsidRDefault="002E44DE" w:rsidP="00586391">
                    <w:pPr>
                      <w:pStyle w:val="CLAddress"/>
                      <w:rPr>
                        <w:highlight w:val="yellow"/>
                      </w:rPr>
                    </w:pPr>
                    <w:r>
                      <w:t>75 Isham Road, Suite 400</w:t>
                    </w:r>
                    <w:r>
                      <w:tab/>
                    </w:r>
                    <w:r>
                      <w:tab/>
                      <w:t>3001 PGA Boulevard, Suite 104</w:t>
                    </w:r>
                  </w:p>
                  <w:p w14:paraId="6B59FBA9" w14:textId="77777777" w:rsidR="002E44DE" w:rsidRDefault="002E44DE" w:rsidP="00586391">
                    <w:pPr>
                      <w:pStyle w:val="CLAddress"/>
                    </w:pPr>
                    <w:r>
                      <w:t xml:space="preserve">West Hartford, </w:t>
                    </w:r>
                    <w:smartTag w:uri="urn:schemas-microsoft-com:office:smarttags" w:element="State">
                      <w:r>
                        <w:t>CT</w:t>
                      </w:r>
                    </w:smartTag>
                    <w:r>
                      <w:t xml:space="preserve">  06107</w:t>
                    </w:r>
                    <w:r>
                      <w:tab/>
                    </w:r>
                    <w:r>
                      <w:tab/>
                      <w:t xml:space="preserve">Palm Beach Gardens, FL  </w:t>
                    </w:r>
                    <w:r w:rsidRPr="00AB7361">
                      <w:t>33410</w:t>
                    </w:r>
                  </w:p>
                  <w:p w14:paraId="761863F3" w14:textId="77777777" w:rsidR="002E44DE" w:rsidRDefault="002E44DE" w:rsidP="00586391">
                    <w:pPr>
                      <w:pStyle w:val="CLAddress"/>
                    </w:pPr>
                    <w:r>
                      <w:t>860.313.4900  Phone</w:t>
                    </w:r>
                    <w:r>
                      <w:tab/>
                    </w:r>
                    <w:r>
                      <w:tab/>
                      <w:t>561-214-8500  Phone</w:t>
                    </w:r>
                  </w:p>
                  <w:p w14:paraId="20BF4E4D" w14:textId="77777777" w:rsidR="002E44DE" w:rsidRDefault="002E44DE" w:rsidP="00586391">
                    <w:pPr>
                      <w:pStyle w:val="CLAddress"/>
                    </w:pPr>
                    <w:r>
                      <w:t>860.313.4993  Fax</w:t>
                    </w:r>
                    <w:r>
                      <w:tab/>
                    </w:r>
                    <w:r>
                      <w:tab/>
                    </w:r>
                    <w:r>
                      <w:tab/>
                      <w:t>561-214-8514  Fax</w:t>
                    </w:r>
                  </w:p>
                  <w:p w14:paraId="662B9E89" w14:textId="77777777" w:rsidR="002E44DE" w:rsidRDefault="002E44DE" w:rsidP="00586391">
                    <w:pPr>
                      <w:pStyle w:val="CLAddress"/>
                    </w:pPr>
                  </w:p>
                </w:txbxContent>
              </v:textbox>
              <w10:wrap type="tight" side="right" anchorx="margin"/>
              <w10:anchorlock/>
            </v:shape>
          </w:pict>
        </mc:Fallback>
      </mc:AlternateContent>
    </w:r>
  </w:p>
  <w:p w14:paraId="2A96A5C5" w14:textId="77777777" w:rsidR="002E44DE" w:rsidRDefault="002E4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C00A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CAADE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AC6C7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A72AB26"/>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AB0C84F8"/>
    <w:lvl w:ilvl="0">
      <w:start w:val="1"/>
      <w:numFmt w:val="decimal"/>
      <w:pStyle w:val="ListNumber"/>
      <w:lvlText w:val="%1."/>
      <w:lvlJc w:val="left"/>
      <w:pPr>
        <w:tabs>
          <w:tab w:val="num" w:pos="360"/>
        </w:tabs>
        <w:ind w:left="360" w:hanging="360"/>
      </w:pPr>
    </w:lvl>
  </w:abstractNum>
  <w:abstractNum w:abstractNumId="5" w15:restartNumberingAfterBreak="0">
    <w:nsid w:val="329F4D99"/>
    <w:multiLevelType w:val="hybridMultilevel"/>
    <w:tmpl w:val="452659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1640E"/>
    <w:multiLevelType w:val="hybridMultilevel"/>
    <w:tmpl w:val="1C7E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D5BD8"/>
    <w:multiLevelType w:val="hybridMultilevel"/>
    <w:tmpl w:val="4742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52AAA"/>
    <w:multiLevelType w:val="hybridMultilevel"/>
    <w:tmpl w:val="06C63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D4163E"/>
    <w:multiLevelType w:val="hybridMultilevel"/>
    <w:tmpl w:val="DE66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5"/>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D5"/>
    <w:rsid w:val="00002D11"/>
    <w:rsid w:val="00020764"/>
    <w:rsid w:val="00033285"/>
    <w:rsid w:val="00044EF4"/>
    <w:rsid w:val="00047F72"/>
    <w:rsid w:val="000516DD"/>
    <w:rsid w:val="00053272"/>
    <w:rsid w:val="000605E0"/>
    <w:rsid w:val="00064DA3"/>
    <w:rsid w:val="00065DC3"/>
    <w:rsid w:val="00074B4B"/>
    <w:rsid w:val="000805AD"/>
    <w:rsid w:val="00081097"/>
    <w:rsid w:val="0008166A"/>
    <w:rsid w:val="000A45CC"/>
    <w:rsid w:val="000A4DD1"/>
    <w:rsid w:val="000A63A6"/>
    <w:rsid w:val="000B50E6"/>
    <w:rsid w:val="000C386D"/>
    <w:rsid w:val="000D4184"/>
    <w:rsid w:val="000D6358"/>
    <w:rsid w:val="000E2B14"/>
    <w:rsid w:val="000E5380"/>
    <w:rsid w:val="000E7A68"/>
    <w:rsid w:val="000F1395"/>
    <w:rsid w:val="000F251B"/>
    <w:rsid w:val="000F5F72"/>
    <w:rsid w:val="000F6947"/>
    <w:rsid w:val="001078D6"/>
    <w:rsid w:val="00113695"/>
    <w:rsid w:val="00123B98"/>
    <w:rsid w:val="00132D98"/>
    <w:rsid w:val="001353C6"/>
    <w:rsid w:val="001411A0"/>
    <w:rsid w:val="0014423F"/>
    <w:rsid w:val="001518E7"/>
    <w:rsid w:val="001534B9"/>
    <w:rsid w:val="0015651E"/>
    <w:rsid w:val="001620F4"/>
    <w:rsid w:val="00167597"/>
    <w:rsid w:val="00175A1B"/>
    <w:rsid w:val="00176E53"/>
    <w:rsid w:val="00177B0B"/>
    <w:rsid w:val="00183CD0"/>
    <w:rsid w:val="00184CD8"/>
    <w:rsid w:val="001924C5"/>
    <w:rsid w:val="001A232D"/>
    <w:rsid w:val="001B0D7C"/>
    <w:rsid w:val="001B2A3E"/>
    <w:rsid w:val="001B3B34"/>
    <w:rsid w:val="001C3F98"/>
    <w:rsid w:val="001C4560"/>
    <w:rsid w:val="001C5176"/>
    <w:rsid w:val="001C66E7"/>
    <w:rsid w:val="001E16B7"/>
    <w:rsid w:val="001F061C"/>
    <w:rsid w:val="0021225D"/>
    <w:rsid w:val="00220BB1"/>
    <w:rsid w:val="00220D10"/>
    <w:rsid w:val="0022137E"/>
    <w:rsid w:val="002316D1"/>
    <w:rsid w:val="002357B1"/>
    <w:rsid w:val="00237044"/>
    <w:rsid w:val="002450AA"/>
    <w:rsid w:val="0024542B"/>
    <w:rsid w:val="00255801"/>
    <w:rsid w:val="00257A68"/>
    <w:rsid w:val="00260566"/>
    <w:rsid w:val="002624EA"/>
    <w:rsid w:val="00281DCD"/>
    <w:rsid w:val="002915B9"/>
    <w:rsid w:val="002A4C0C"/>
    <w:rsid w:val="002A6B40"/>
    <w:rsid w:val="002B7D92"/>
    <w:rsid w:val="002C0201"/>
    <w:rsid w:val="002C1164"/>
    <w:rsid w:val="002C406D"/>
    <w:rsid w:val="002D15DF"/>
    <w:rsid w:val="002D1F4B"/>
    <w:rsid w:val="002E44DE"/>
    <w:rsid w:val="002F036E"/>
    <w:rsid w:val="002F3690"/>
    <w:rsid w:val="00312C87"/>
    <w:rsid w:val="00312ED3"/>
    <w:rsid w:val="00317945"/>
    <w:rsid w:val="003309DD"/>
    <w:rsid w:val="00374B12"/>
    <w:rsid w:val="00375F07"/>
    <w:rsid w:val="00380A70"/>
    <w:rsid w:val="003845A5"/>
    <w:rsid w:val="003A1772"/>
    <w:rsid w:val="003D18D5"/>
    <w:rsid w:val="003D51AA"/>
    <w:rsid w:val="003D70B9"/>
    <w:rsid w:val="003F182F"/>
    <w:rsid w:val="003F4CBB"/>
    <w:rsid w:val="00404F86"/>
    <w:rsid w:val="0040698B"/>
    <w:rsid w:val="00407F3A"/>
    <w:rsid w:val="00414592"/>
    <w:rsid w:val="00415456"/>
    <w:rsid w:val="00431D8E"/>
    <w:rsid w:val="00444D74"/>
    <w:rsid w:val="00445C68"/>
    <w:rsid w:val="00460323"/>
    <w:rsid w:val="00471D54"/>
    <w:rsid w:val="00473948"/>
    <w:rsid w:val="00474B94"/>
    <w:rsid w:val="004776DC"/>
    <w:rsid w:val="00483439"/>
    <w:rsid w:val="00485A9E"/>
    <w:rsid w:val="004906FE"/>
    <w:rsid w:val="00496129"/>
    <w:rsid w:val="00496712"/>
    <w:rsid w:val="004B0DB4"/>
    <w:rsid w:val="004B3879"/>
    <w:rsid w:val="004B4435"/>
    <w:rsid w:val="004B7348"/>
    <w:rsid w:val="004D3759"/>
    <w:rsid w:val="004D4419"/>
    <w:rsid w:val="004D4722"/>
    <w:rsid w:val="004D48F5"/>
    <w:rsid w:val="004D6C7C"/>
    <w:rsid w:val="004E555D"/>
    <w:rsid w:val="004E7432"/>
    <w:rsid w:val="004F19AB"/>
    <w:rsid w:val="00504AAA"/>
    <w:rsid w:val="00510A79"/>
    <w:rsid w:val="00512DC3"/>
    <w:rsid w:val="005133D3"/>
    <w:rsid w:val="0051480C"/>
    <w:rsid w:val="00520C63"/>
    <w:rsid w:val="00525DFE"/>
    <w:rsid w:val="00530B30"/>
    <w:rsid w:val="005463D9"/>
    <w:rsid w:val="005558CF"/>
    <w:rsid w:val="00561771"/>
    <w:rsid w:val="00562E22"/>
    <w:rsid w:val="0058528E"/>
    <w:rsid w:val="00586391"/>
    <w:rsid w:val="00592176"/>
    <w:rsid w:val="00593214"/>
    <w:rsid w:val="00597A25"/>
    <w:rsid w:val="005A49C2"/>
    <w:rsid w:val="005A5545"/>
    <w:rsid w:val="005D0D6B"/>
    <w:rsid w:val="005E2CA3"/>
    <w:rsid w:val="005E5B49"/>
    <w:rsid w:val="005F3115"/>
    <w:rsid w:val="006003C6"/>
    <w:rsid w:val="0060054A"/>
    <w:rsid w:val="00607B7A"/>
    <w:rsid w:val="00632F9A"/>
    <w:rsid w:val="00637876"/>
    <w:rsid w:val="0065404B"/>
    <w:rsid w:val="0065713E"/>
    <w:rsid w:val="006632CF"/>
    <w:rsid w:val="006644CD"/>
    <w:rsid w:val="00664F61"/>
    <w:rsid w:val="00665A4A"/>
    <w:rsid w:val="00677BED"/>
    <w:rsid w:val="006916C9"/>
    <w:rsid w:val="006917DD"/>
    <w:rsid w:val="006921D8"/>
    <w:rsid w:val="006A1C1D"/>
    <w:rsid w:val="006A31CD"/>
    <w:rsid w:val="006A4189"/>
    <w:rsid w:val="006A55DC"/>
    <w:rsid w:val="006C2BAF"/>
    <w:rsid w:val="006C3F38"/>
    <w:rsid w:val="006C4747"/>
    <w:rsid w:val="006D1939"/>
    <w:rsid w:val="006D70FF"/>
    <w:rsid w:val="006E669D"/>
    <w:rsid w:val="006F346C"/>
    <w:rsid w:val="006F3C57"/>
    <w:rsid w:val="006F6CF3"/>
    <w:rsid w:val="007022EC"/>
    <w:rsid w:val="007073EC"/>
    <w:rsid w:val="007116ED"/>
    <w:rsid w:val="00722210"/>
    <w:rsid w:val="00722F7E"/>
    <w:rsid w:val="007234D3"/>
    <w:rsid w:val="00730A73"/>
    <w:rsid w:val="0073744D"/>
    <w:rsid w:val="00742207"/>
    <w:rsid w:val="007448A8"/>
    <w:rsid w:val="007468CD"/>
    <w:rsid w:val="007537B4"/>
    <w:rsid w:val="00766371"/>
    <w:rsid w:val="0076638D"/>
    <w:rsid w:val="00776967"/>
    <w:rsid w:val="00787132"/>
    <w:rsid w:val="007A76E1"/>
    <w:rsid w:val="007B150A"/>
    <w:rsid w:val="007B452D"/>
    <w:rsid w:val="007B5410"/>
    <w:rsid w:val="007C1A95"/>
    <w:rsid w:val="007C51BF"/>
    <w:rsid w:val="007C5B15"/>
    <w:rsid w:val="007C6850"/>
    <w:rsid w:val="007D5B4C"/>
    <w:rsid w:val="007E173D"/>
    <w:rsid w:val="007E1A7C"/>
    <w:rsid w:val="007F409E"/>
    <w:rsid w:val="007F5ACD"/>
    <w:rsid w:val="0081247C"/>
    <w:rsid w:val="008218D1"/>
    <w:rsid w:val="00824667"/>
    <w:rsid w:val="00824DF5"/>
    <w:rsid w:val="00831BCC"/>
    <w:rsid w:val="00834758"/>
    <w:rsid w:val="00844F4E"/>
    <w:rsid w:val="00846AD8"/>
    <w:rsid w:val="00846FE5"/>
    <w:rsid w:val="00853209"/>
    <w:rsid w:val="00861706"/>
    <w:rsid w:val="00875D62"/>
    <w:rsid w:val="008805CA"/>
    <w:rsid w:val="0088276C"/>
    <w:rsid w:val="008828B2"/>
    <w:rsid w:val="00883CDD"/>
    <w:rsid w:val="008946F7"/>
    <w:rsid w:val="008A414E"/>
    <w:rsid w:val="008A66C6"/>
    <w:rsid w:val="008B0CC1"/>
    <w:rsid w:val="008B53B7"/>
    <w:rsid w:val="008B55F4"/>
    <w:rsid w:val="008C1BBF"/>
    <w:rsid w:val="008D7646"/>
    <w:rsid w:val="008E16B9"/>
    <w:rsid w:val="008E24AB"/>
    <w:rsid w:val="008E7645"/>
    <w:rsid w:val="008F27F8"/>
    <w:rsid w:val="008F289E"/>
    <w:rsid w:val="00905375"/>
    <w:rsid w:val="00913715"/>
    <w:rsid w:val="00917626"/>
    <w:rsid w:val="00922F09"/>
    <w:rsid w:val="00930023"/>
    <w:rsid w:val="009404FD"/>
    <w:rsid w:val="00943305"/>
    <w:rsid w:val="0094639D"/>
    <w:rsid w:val="00963EA6"/>
    <w:rsid w:val="009647C0"/>
    <w:rsid w:val="00967DD6"/>
    <w:rsid w:val="00977D94"/>
    <w:rsid w:val="00980DD4"/>
    <w:rsid w:val="009B0667"/>
    <w:rsid w:val="009C5779"/>
    <w:rsid w:val="009C6CFA"/>
    <w:rsid w:val="009E183C"/>
    <w:rsid w:val="009E2046"/>
    <w:rsid w:val="009E7F09"/>
    <w:rsid w:val="009F35FE"/>
    <w:rsid w:val="00A17865"/>
    <w:rsid w:val="00A17D7D"/>
    <w:rsid w:val="00A24417"/>
    <w:rsid w:val="00A36492"/>
    <w:rsid w:val="00A434A2"/>
    <w:rsid w:val="00A4734D"/>
    <w:rsid w:val="00A51A15"/>
    <w:rsid w:val="00A538B7"/>
    <w:rsid w:val="00A540DE"/>
    <w:rsid w:val="00A5578D"/>
    <w:rsid w:val="00A66486"/>
    <w:rsid w:val="00A670A9"/>
    <w:rsid w:val="00A72D91"/>
    <w:rsid w:val="00A7305C"/>
    <w:rsid w:val="00A77269"/>
    <w:rsid w:val="00A80799"/>
    <w:rsid w:val="00A82D2C"/>
    <w:rsid w:val="00A913EA"/>
    <w:rsid w:val="00A9427F"/>
    <w:rsid w:val="00A95CF5"/>
    <w:rsid w:val="00A963EE"/>
    <w:rsid w:val="00A97709"/>
    <w:rsid w:val="00AA33BC"/>
    <w:rsid w:val="00AA479E"/>
    <w:rsid w:val="00AA78E7"/>
    <w:rsid w:val="00AB1DF3"/>
    <w:rsid w:val="00AB3F30"/>
    <w:rsid w:val="00AB5E69"/>
    <w:rsid w:val="00AB7361"/>
    <w:rsid w:val="00AC2C4E"/>
    <w:rsid w:val="00AC6917"/>
    <w:rsid w:val="00AC6FDE"/>
    <w:rsid w:val="00AD2E2A"/>
    <w:rsid w:val="00AD37C4"/>
    <w:rsid w:val="00AD4617"/>
    <w:rsid w:val="00AE0930"/>
    <w:rsid w:val="00AE75FB"/>
    <w:rsid w:val="00AF23F6"/>
    <w:rsid w:val="00AF5F1C"/>
    <w:rsid w:val="00AF70A8"/>
    <w:rsid w:val="00AF797A"/>
    <w:rsid w:val="00B001F2"/>
    <w:rsid w:val="00B02215"/>
    <w:rsid w:val="00B07A85"/>
    <w:rsid w:val="00B135F8"/>
    <w:rsid w:val="00B162CD"/>
    <w:rsid w:val="00B27166"/>
    <w:rsid w:val="00B32886"/>
    <w:rsid w:val="00B37DB2"/>
    <w:rsid w:val="00B43E46"/>
    <w:rsid w:val="00B44062"/>
    <w:rsid w:val="00B50765"/>
    <w:rsid w:val="00B5694E"/>
    <w:rsid w:val="00B614DF"/>
    <w:rsid w:val="00B62CDC"/>
    <w:rsid w:val="00B636ED"/>
    <w:rsid w:val="00B71494"/>
    <w:rsid w:val="00B807C2"/>
    <w:rsid w:val="00B812BD"/>
    <w:rsid w:val="00B878D5"/>
    <w:rsid w:val="00B95F0B"/>
    <w:rsid w:val="00BA3180"/>
    <w:rsid w:val="00BB1054"/>
    <w:rsid w:val="00BB2A94"/>
    <w:rsid w:val="00BB54EE"/>
    <w:rsid w:val="00BB7EA8"/>
    <w:rsid w:val="00BC0A36"/>
    <w:rsid w:val="00BC295D"/>
    <w:rsid w:val="00BC2AEB"/>
    <w:rsid w:val="00BD029C"/>
    <w:rsid w:val="00BD693B"/>
    <w:rsid w:val="00BD77D1"/>
    <w:rsid w:val="00BD7B80"/>
    <w:rsid w:val="00BF0760"/>
    <w:rsid w:val="00BF28B0"/>
    <w:rsid w:val="00BF2B89"/>
    <w:rsid w:val="00BF2BB2"/>
    <w:rsid w:val="00C028C2"/>
    <w:rsid w:val="00C22B6D"/>
    <w:rsid w:val="00C22DDD"/>
    <w:rsid w:val="00C26A54"/>
    <w:rsid w:val="00C362DF"/>
    <w:rsid w:val="00C37164"/>
    <w:rsid w:val="00C578F1"/>
    <w:rsid w:val="00C810A3"/>
    <w:rsid w:val="00C84063"/>
    <w:rsid w:val="00C91701"/>
    <w:rsid w:val="00C93DA6"/>
    <w:rsid w:val="00C9536B"/>
    <w:rsid w:val="00CA7793"/>
    <w:rsid w:val="00CB49E0"/>
    <w:rsid w:val="00CC2D68"/>
    <w:rsid w:val="00CC5A1F"/>
    <w:rsid w:val="00CF30B4"/>
    <w:rsid w:val="00CF5D1F"/>
    <w:rsid w:val="00D1208E"/>
    <w:rsid w:val="00D46B25"/>
    <w:rsid w:val="00D51321"/>
    <w:rsid w:val="00D56EB3"/>
    <w:rsid w:val="00D574BD"/>
    <w:rsid w:val="00D628BD"/>
    <w:rsid w:val="00D6404C"/>
    <w:rsid w:val="00D65766"/>
    <w:rsid w:val="00D92F0E"/>
    <w:rsid w:val="00DA3CF9"/>
    <w:rsid w:val="00DA7180"/>
    <w:rsid w:val="00DC07D2"/>
    <w:rsid w:val="00DD075E"/>
    <w:rsid w:val="00DE3F65"/>
    <w:rsid w:val="00DF4DF3"/>
    <w:rsid w:val="00E052CA"/>
    <w:rsid w:val="00E05778"/>
    <w:rsid w:val="00E071A6"/>
    <w:rsid w:val="00E14F98"/>
    <w:rsid w:val="00E21B76"/>
    <w:rsid w:val="00E2337A"/>
    <w:rsid w:val="00E241DA"/>
    <w:rsid w:val="00E301BE"/>
    <w:rsid w:val="00E325F0"/>
    <w:rsid w:val="00E353D1"/>
    <w:rsid w:val="00E35D71"/>
    <w:rsid w:val="00E36667"/>
    <w:rsid w:val="00E36672"/>
    <w:rsid w:val="00E46C7B"/>
    <w:rsid w:val="00E54960"/>
    <w:rsid w:val="00E641ED"/>
    <w:rsid w:val="00EA0B34"/>
    <w:rsid w:val="00EA1A2F"/>
    <w:rsid w:val="00EB1D0E"/>
    <w:rsid w:val="00EB2F98"/>
    <w:rsid w:val="00EC1D6D"/>
    <w:rsid w:val="00EC33E5"/>
    <w:rsid w:val="00ED0BB6"/>
    <w:rsid w:val="00EE5D7B"/>
    <w:rsid w:val="00EF05B4"/>
    <w:rsid w:val="00EF09C0"/>
    <w:rsid w:val="00F00941"/>
    <w:rsid w:val="00F17FCA"/>
    <w:rsid w:val="00F20D71"/>
    <w:rsid w:val="00F24CD5"/>
    <w:rsid w:val="00F30B9B"/>
    <w:rsid w:val="00F33DF7"/>
    <w:rsid w:val="00F369D2"/>
    <w:rsid w:val="00F40494"/>
    <w:rsid w:val="00F413A6"/>
    <w:rsid w:val="00F429EB"/>
    <w:rsid w:val="00F45E4F"/>
    <w:rsid w:val="00F51DE7"/>
    <w:rsid w:val="00F53728"/>
    <w:rsid w:val="00F54DAD"/>
    <w:rsid w:val="00F5506B"/>
    <w:rsid w:val="00F6242C"/>
    <w:rsid w:val="00F636F0"/>
    <w:rsid w:val="00F63DFF"/>
    <w:rsid w:val="00F73792"/>
    <w:rsid w:val="00F835C4"/>
    <w:rsid w:val="00F85582"/>
    <w:rsid w:val="00F94730"/>
    <w:rsid w:val="00F94ECA"/>
    <w:rsid w:val="00FA50A3"/>
    <w:rsid w:val="00FA5D2A"/>
    <w:rsid w:val="00FC081D"/>
    <w:rsid w:val="00FC7247"/>
    <w:rsid w:val="00FC7FDB"/>
    <w:rsid w:val="00FD61F8"/>
    <w:rsid w:val="00FD717B"/>
    <w:rsid w:val="00FE3F0B"/>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90113"/>
    <o:shapelayout v:ext="edit">
      <o:idmap v:ext="edit" data="1"/>
    </o:shapelayout>
  </w:shapeDefaults>
  <w:decimalSymbol w:val="."/>
  <w:listSeparator w:val=","/>
  <w14:docId w14:val="57177732"/>
  <w15:docId w15:val="{8A8191AD-F070-425D-996C-A4B35C64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uiPriority="9"/>
    <w:lsdException w:name="heading 3" w:uiPriority="9" w:unhideWhenUsed="1"/>
    <w:lsdException w:name="heading 4" w:uiPriority="9" w:unhideWhenUsed="1"/>
    <w:lsdException w:name="heading 5" w:uiPriority="9" w:unhideWhenUsed="1"/>
    <w:lsdException w:name="heading 6" w:uiPriority="9" w:unhideWhenUsed="1"/>
    <w:lsdException w:name="heading 7" w:uiPriority="9" w:unhideWhenUsed="1"/>
    <w:lsdException w:name="heading 8" w:semiHidden="1"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nhideWhenUsed="1" w:qFormat="1"/>
    <w:lsdException w:name="table of figures" w:semiHidden="1" w:unhideWhenUsed="1"/>
    <w:lsdException w:name="envelope address" w:unhideWhenUsed="1"/>
    <w:lsdException w:name="envelope return"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unhideWhenUsed="1"/>
    <w:lsdException w:name="List Number 4" w:unhideWhenUsed="1"/>
    <w:lsdException w:name="List Number 5"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
    <w:qFormat/>
    <w:rsid w:val="00846FE5"/>
    <w:pPr>
      <w:spacing w:after="0" w:line="240" w:lineRule="auto"/>
    </w:pPr>
    <w:rPr>
      <w:rFonts w:ascii="Times New Roman" w:hAnsi="Times New Roman"/>
      <w:sz w:val="24"/>
    </w:rPr>
  </w:style>
  <w:style w:type="paragraph" w:styleId="Heading1">
    <w:name w:val="heading 1"/>
    <w:basedOn w:val="Normal"/>
    <w:link w:val="Heading1Char"/>
    <w:uiPriority w:val="49"/>
    <w:rsid w:val="008E7645"/>
    <w:pPr>
      <w:spacing w:after="240"/>
      <w:outlineLvl w:val="0"/>
    </w:pPr>
    <w:rPr>
      <w:rFonts w:eastAsiaTheme="majorEastAsia" w:cstheme="majorBidi"/>
      <w:bCs/>
      <w:szCs w:val="28"/>
    </w:rPr>
  </w:style>
  <w:style w:type="paragraph" w:styleId="Heading2">
    <w:name w:val="heading 2"/>
    <w:basedOn w:val="Normal"/>
    <w:link w:val="Heading2Char"/>
    <w:uiPriority w:val="49"/>
    <w:rsid w:val="008E7645"/>
    <w:pPr>
      <w:spacing w:after="240"/>
      <w:outlineLvl w:val="1"/>
    </w:pPr>
    <w:rPr>
      <w:rFonts w:eastAsiaTheme="majorEastAsia" w:cstheme="majorBidi"/>
      <w:bCs/>
      <w:szCs w:val="26"/>
    </w:rPr>
  </w:style>
  <w:style w:type="paragraph" w:styleId="Heading3">
    <w:name w:val="heading 3"/>
    <w:basedOn w:val="Normal"/>
    <w:link w:val="Heading3Char"/>
    <w:uiPriority w:val="49"/>
    <w:rsid w:val="008E7645"/>
    <w:pPr>
      <w:spacing w:after="240"/>
      <w:outlineLvl w:val="2"/>
    </w:pPr>
    <w:rPr>
      <w:rFonts w:eastAsiaTheme="majorEastAsia" w:cstheme="majorBidi"/>
      <w:bCs/>
    </w:rPr>
  </w:style>
  <w:style w:type="paragraph" w:styleId="Heading4">
    <w:name w:val="heading 4"/>
    <w:basedOn w:val="Normal"/>
    <w:link w:val="Heading4Char"/>
    <w:uiPriority w:val="49"/>
    <w:rsid w:val="00B812BD"/>
    <w:pPr>
      <w:spacing w:after="240"/>
      <w:outlineLvl w:val="3"/>
    </w:pPr>
    <w:rPr>
      <w:rFonts w:eastAsiaTheme="majorEastAsia" w:cstheme="majorBidi"/>
      <w:bCs/>
      <w:iCs/>
    </w:rPr>
  </w:style>
  <w:style w:type="paragraph" w:styleId="Heading5">
    <w:name w:val="heading 5"/>
    <w:basedOn w:val="Normal"/>
    <w:link w:val="Heading5Char"/>
    <w:uiPriority w:val="49"/>
    <w:rsid w:val="00B812BD"/>
    <w:pPr>
      <w:spacing w:after="240"/>
      <w:outlineLvl w:val="4"/>
    </w:pPr>
    <w:rPr>
      <w:rFonts w:eastAsiaTheme="majorEastAsia" w:cstheme="majorBidi"/>
    </w:rPr>
  </w:style>
  <w:style w:type="paragraph" w:styleId="Heading6">
    <w:name w:val="heading 6"/>
    <w:basedOn w:val="Normal"/>
    <w:link w:val="Heading6Char"/>
    <w:uiPriority w:val="49"/>
    <w:rsid w:val="00B812BD"/>
    <w:pPr>
      <w:spacing w:after="240"/>
      <w:outlineLvl w:val="5"/>
    </w:pPr>
    <w:rPr>
      <w:rFonts w:eastAsiaTheme="majorEastAsia" w:cstheme="majorBidi"/>
      <w:iCs/>
    </w:rPr>
  </w:style>
  <w:style w:type="paragraph" w:styleId="Heading7">
    <w:name w:val="heading 7"/>
    <w:basedOn w:val="Normal"/>
    <w:link w:val="Heading7Char"/>
    <w:uiPriority w:val="49"/>
    <w:rsid w:val="00B812BD"/>
    <w:pPr>
      <w:spacing w:after="240"/>
      <w:outlineLvl w:val="6"/>
    </w:pPr>
    <w:rPr>
      <w:rFonts w:eastAsiaTheme="majorEastAsia" w:cstheme="majorBidi"/>
      <w:iCs/>
    </w:rPr>
  </w:style>
  <w:style w:type="paragraph" w:styleId="Heading8">
    <w:name w:val="heading 8"/>
    <w:basedOn w:val="Normal"/>
    <w:link w:val="Heading8Char"/>
    <w:uiPriority w:val="49"/>
    <w:rsid w:val="00B812BD"/>
    <w:pPr>
      <w:spacing w:after="240"/>
      <w:outlineLvl w:val="7"/>
    </w:pPr>
    <w:rPr>
      <w:rFonts w:eastAsiaTheme="majorEastAsia" w:cstheme="majorBidi"/>
      <w:szCs w:val="20"/>
    </w:rPr>
  </w:style>
  <w:style w:type="paragraph" w:styleId="Heading9">
    <w:name w:val="heading 9"/>
    <w:basedOn w:val="Normal"/>
    <w:link w:val="Heading9Char"/>
    <w:uiPriority w:val="49"/>
    <w:rsid w:val="00B812BD"/>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qFormat/>
    <w:rsid w:val="00917626"/>
    <w:pPr>
      <w:spacing w:after="240"/>
      <w:ind w:left="1440" w:right="1440"/>
    </w:pPr>
    <w:rPr>
      <w:rFonts w:eastAsiaTheme="minorEastAsia"/>
      <w:iCs/>
    </w:rPr>
  </w:style>
  <w:style w:type="paragraph" w:styleId="BodyText">
    <w:name w:val="Body Text"/>
    <w:basedOn w:val="Normal"/>
    <w:link w:val="BodyTextChar"/>
    <w:uiPriority w:val="3"/>
    <w:qFormat/>
    <w:rsid w:val="00312ED3"/>
  </w:style>
  <w:style w:type="character" w:customStyle="1" w:styleId="BodyTextChar">
    <w:name w:val="Body Text Char"/>
    <w:basedOn w:val="DefaultParagraphFont"/>
    <w:link w:val="BodyText"/>
    <w:uiPriority w:val="3"/>
    <w:rsid w:val="00A4734D"/>
    <w:rPr>
      <w:rFonts w:ascii="Times New Roman" w:hAnsi="Times New Roman"/>
      <w:sz w:val="24"/>
    </w:rPr>
  </w:style>
  <w:style w:type="paragraph" w:customStyle="1" w:styleId="BodyText1">
    <w:name w:val="Body Text 1"/>
    <w:basedOn w:val="Normal"/>
    <w:uiPriority w:val="3"/>
    <w:qFormat/>
    <w:rsid w:val="00A66486"/>
    <w:pPr>
      <w:spacing w:after="240"/>
      <w:ind w:firstLine="1440"/>
    </w:pPr>
  </w:style>
  <w:style w:type="paragraph" w:customStyle="1" w:styleId="CLDocID">
    <w:name w:val="CLDocID"/>
    <w:basedOn w:val="Normal"/>
    <w:uiPriority w:val="59"/>
    <w:rsid w:val="006F6CF3"/>
    <w:rPr>
      <w:rFonts w:ascii="Courier New" w:hAnsi="Courier New"/>
      <w:sz w:val="16"/>
    </w:rPr>
  </w:style>
  <w:style w:type="paragraph" w:styleId="EndnoteText">
    <w:name w:val="endnote text"/>
    <w:basedOn w:val="Normal"/>
    <w:link w:val="EndnoteTextChar"/>
    <w:uiPriority w:val="50"/>
    <w:rsid w:val="00B614DF"/>
    <w:pPr>
      <w:spacing w:after="240"/>
      <w:ind w:left="288" w:hanging="288"/>
    </w:pPr>
    <w:rPr>
      <w:sz w:val="20"/>
      <w:szCs w:val="20"/>
    </w:rPr>
  </w:style>
  <w:style w:type="character" w:customStyle="1" w:styleId="EndnoteTextChar">
    <w:name w:val="Endnote Text Char"/>
    <w:basedOn w:val="DefaultParagraphFont"/>
    <w:link w:val="EndnoteText"/>
    <w:uiPriority w:val="50"/>
    <w:rsid w:val="005D0D6B"/>
    <w:rPr>
      <w:rFonts w:ascii="Times New Roman" w:hAnsi="Times New Roman"/>
      <w:sz w:val="20"/>
      <w:szCs w:val="20"/>
    </w:rPr>
  </w:style>
  <w:style w:type="paragraph" w:styleId="EnvelopeAddress">
    <w:name w:val="envelope address"/>
    <w:basedOn w:val="Normal"/>
    <w:uiPriority w:val="50"/>
    <w:rsid w:val="00033285"/>
    <w:pPr>
      <w:framePr w:w="7920" w:h="1987" w:hRule="exact" w:hSpace="187" w:wrap="around" w:hAnchor="page" w:xAlign="center" w:yAlign="bottom"/>
      <w:ind w:left="2880"/>
    </w:pPr>
    <w:rPr>
      <w:rFonts w:eastAsiaTheme="majorEastAsia" w:cstheme="majorBidi"/>
      <w:szCs w:val="24"/>
    </w:rPr>
  </w:style>
  <w:style w:type="paragraph" w:styleId="EnvelopeReturn">
    <w:name w:val="envelope return"/>
    <w:basedOn w:val="Normal"/>
    <w:uiPriority w:val="50"/>
    <w:rsid w:val="00033285"/>
    <w:rPr>
      <w:rFonts w:eastAsiaTheme="majorEastAsia" w:cstheme="majorBidi"/>
      <w:sz w:val="20"/>
      <w:szCs w:val="20"/>
    </w:rPr>
  </w:style>
  <w:style w:type="paragraph" w:styleId="Footer">
    <w:name w:val="footer"/>
    <w:basedOn w:val="Normal"/>
    <w:link w:val="FooterChar"/>
    <w:rsid w:val="00E641ED"/>
    <w:pPr>
      <w:tabs>
        <w:tab w:val="center" w:pos="4320"/>
        <w:tab w:val="right" w:pos="8640"/>
      </w:tabs>
    </w:pPr>
  </w:style>
  <w:style w:type="character" w:customStyle="1" w:styleId="FooterChar">
    <w:name w:val="Footer Char"/>
    <w:basedOn w:val="DefaultParagraphFont"/>
    <w:link w:val="Footer"/>
    <w:rsid w:val="005D0D6B"/>
    <w:rPr>
      <w:rFonts w:ascii="Times New Roman" w:hAnsi="Times New Roman"/>
      <w:sz w:val="24"/>
    </w:rPr>
  </w:style>
  <w:style w:type="paragraph" w:styleId="FootnoteText">
    <w:name w:val="footnote text"/>
    <w:basedOn w:val="Normal"/>
    <w:link w:val="FootnoteTextChar"/>
    <w:rsid w:val="007537B4"/>
    <w:pPr>
      <w:spacing w:after="240"/>
      <w:ind w:left="288" w:hanging="288"/>
    </w:pPr>
    <w:rPr>
      <w:sz w:val="20"/>
      <w:szCs w:val="20"/>
    </w:rPr>
  </w:style>
  <w:style w:type="character" w:customStyle="1" w:styleId="FootnoteTextChar">
    <w:name w:val="Footnote Text Char"/>
    <w:basedOn w:val="DefaultParagraphFont"/>
    <w:link w:val="FootnoteText"/>
    <w:uiPriority w:val="50"/>
    <w:rsid w:val="005D0D6B"/>
    <w:rPr>
      <w:rFonts w:ascii="Times New Roman" w:hAnsi="Times New Roman"/>
      <w:sz w:val="20"/>
      <w:szCs w:val="20"/>
    </w:rPr>
  </w:style>
  <w:style w:type="paragraph" w:styleId="Header">
    <w:name w:val="header"/>
    <w:basedOn w:val="Normal"/>
    <w:link w:val="HeaderChar"/>
    <w:rsid w:val="008E7645"/>
    <w:pPr>
      <w:tabs>
        <w:tab w:val="center" w:pos="4320"/>
        <w:tab w:val="right" w:pos="8640"/>
      </w:tabs>
    </w:pPr>
  </w:style>
  <w:style w:type="character" w:customStyle="1" w:styleId="HeaderChar">
    <w:name w:val="Header Char"/>
    <w:basedOn w:val="DefaultParagraphFont"/>
    <w:link w:val="Header"/>
    <w:uiPriority w:val="50"/>
    <w:rsid w:val="005D0D6B"/>
    <w:rPr>
      <w:rFonts w:ascii="Times New Roman" w:hAnsi="Times New Roman"/>
      <w:sz w:val="24"/>
    </w:rPr>
  </w:style>
  <w:style w:type="character" w:customStyle="1" w:styleId="Heading1Char">
    <w:name w:val="Heading 1 Char"/>
    <w:basedOn w:val="DefaultParagraphFont"/>
    <w:link w:val="Heading1"/>
    <w:uiPriority w:val="49"/>
    <w:rsid w:val="00A4734D"/>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49"/>
    <w:rsid w:val="00A4734D"/>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49"/>
    <w:rsid w:val="00A4734D"/>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49"/>
    <w:rsid w:val="00A4734D"/>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49"/>
    <w:rsid w:val="00A4734D"/>
    <w:rPr>
      <w:rFonts w:ascii="Times New Roman" w:eastAsiaTheme="majorEastAsia" w:hAnsi="Times New Roman" w:cstheme="majorBidi"/>
      <w:sz w:val="24"/>
    </w:rPr>
  </w:style>
  <w:style w:type="character" w:customStyle="1" w:styleId="Heading6Char">
    <w:name w:val="Heading 6 Char"/>
    <w:basedOn w:val="DefaultParagraphFont"/>
    <w:link w:val="Heading6"/>
    <w:uiPriority w:val="49"/>
    <w:rsid w:val="00A4734D"/>
    <w:rPr>
      <w:rFonts w:ascii="Times New Roman" w:eastAsiaTheme="majorEastAsia" w:hAnsi="Times New Roman" w:cstheme="majorBidi"/>
      <w:iCs/>
      <w:sz w:val="24"/>
    </w:rPr>
  </w:style>
  <w:style w:type="character" w:customStyle="1" w:styleId="Heading7Char">
    <w:name w:val="Heading 7 Char"/>
    <w:basedOn w:val="DefaultParagraphFont"/>
    <w:link w:val="Heading7"/>
    <w:uiPriority w:val="49"/>
    <w:rsid w:val="00A4734D"/>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49"/>
    <w:rsid w:val="00A4734D"/>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49"/>
    <w:rsid w:val="00A4734D"/>
    <w:rPr>
      <w:rFonts w:ascii="Times New Roman" w:eastAsiaTheme="majorEastAsia" w:hAnsi="Times New Roman" w:cstheme="majorBidi"/>
      <w:iCs/>
      <w:sz w:val="24"/>
      <w:szCs w:val="20"/>
    </w:rPr>
  </w:style>
  <w:style w:type="paragraph" w:styleId="ListNumber">
    <w:name w:val="List Number"/>
    <w:basedOn w:val="Normal"/>
    <w:rsid w:val="007E173D"/>
    <w:pPr>
      <w:numPr>
        <w:numId w:val="1"/>
      </w:numPr>
      <w:tabs>
        <w:tab w:val="clear" w:pos="360"/>
      </w:tabs>
      <w:spacing w:after="240"/>
      <w:ind w:left="720" w:hanging="720"/>
    </w:pPr>
  </w:style>
  <w:style w:type="paragraph" w:styleId="ListNumber2">
    <w:name w:val="List Number 2"/>
    <w:basedOn w:val="Normal"/>
    <w:uiPriority w:val="52"/>
    <w:rsid w:val="007E173D"/>
    <w:pPr>
      <w:numPr>
        <w:numId w:val="2"/>
      </w:numPr>
      <w:tabs>
        <w:tab w:val="clear" w:pos="720"/>
      </w:tabs>
      <w:spacing w:after="240"/>
      <w:ind w:left="1440" w:hanging="720"/>
    </w:pPr>
  </w:style>
  <w:style w:type="paragraph" w:styleId="ListNumber3">
    <w:name w:val="List Number 3"/>
    <w:basedOn w:val="Normal"/>
    <w:uiPriority w:val="52"/>
    <w:rsid w:val="007E173D"/>
    <w:pPr>
      <w:numPr>
        <w:numId w:val="3"/>
      </w:numPr>
      <w:tabs>
        <w:tab w:val="clear" w:pos="1080"/>
      </w:tabs>
      <w:spacing w:after="240"/>
      <w:ind w:left="2160" w:hanging="720"/>
    </w:pPr>
  </w:style>
  <w:style w:type="paragraph" w:styleId="ListNumber4">
    <w:name w:val="List Number 4"/>
    <w:basedOn w:val="Normal"/>
    <w:uiPriority w:val="52"/>
    <w:rsid w:val="007E173D"/>
    <w:pPr>
      <w:numPr>
        <w:numId w:val="4"/>
      </w:numPr>
      <w:tabs>
        <w:tab w:val="clear" w:pos="1440"/>
      </w:tabs>
      <w:spacing w:after="240"/>
      <w:ind w:left="2880" w:hanging="720"/>
    </w:pPr>
  </w:style>
  <w:style w:type="paragraph" w:styleId="ListNumber5">
    <w:name w:val="List Number 5"/>
    <w:basedOn w:val="Normal"/>
    <w:uiPriority w:val="52"/>
    <w:rsid w:val="007E173D"/>
    <w:pPr>
      <w:numPr>
        <w:numId w:val="5"/>
      </w:numPr>
      <w:tabs>
        <w:tab w:val="clear" w:pos="1800"/>
      </w:tabs>
      <w:spacing w:after="240"/>
      <w:ind w:left="3600" w:hanging="720"/>
    </w:pPr>
  </w:style>
  <w:style w:type="paragraph" w:styleId="Title">
    <w:name w:val="Title"/>
    <w:basedOn w:val="Normal"/>
    <w:link w:val="TitleChar"/>
    <w:uiPriority w:val="3"/>
    <w:qFormat/>
    <w:rsid w:val="00C37164"/>
    <w:pPr>
      <w:spacing w:after="240"/>
      <w:jc w:val="center"/>
    </w:pPr>
    <w:rPr>
      <w:rFonts w:eastAsiaTheme="majorEastAsia" w:cstheme="majorBidi"/>
      <w:sz w:val="26"/>
      <w:szCs w:val="52"/>
    </w:rPr>
  </w:style>
  <w:style w:type="character" w:customStyle="1" w:styleId="TitleChar">
    <w:name w:val="Title Char"/>
    <w:basedOn w:val="DefaultParagraphFont"/>
    <w:link w:val="Title"/>
    <w:uiPriority w:val="3"/>
    <w:rsid w:val="00C37164"/>
    <w:rPr>
      <w:rFonts w:ascii="Times New Roman" w:eastAsiaTheme="majorEastAsia" w:hAnsi="Times New Roman" w:cstheme="majorBidi"/>
      <w:sz w:val="26"/>
      <w:szCs w:val="52"/>
    </w:rPr>
  </w:style>
  <w:style w:type="paragraph" w:customStyle="1" w:styleId="ASubhead">
    <w:name w:val="&quot;A&quot;Subhead"/>
    <w:basedOn w:val="Normal"/>
    <w:rsid w:val="00B878D5"/>
    <w:pPr>
      <w:spacing w:line="320" w:lineRule="exact"/>
    </w:pPr>
    <w:rPr>
      <w:rFonts w:ascii="Univers 57 Condensed" w:eastAsia="Times New Roman" w:hAnsi="Univers 57 Condensed" w:cs="Times New Roman"/>
      <w:b/>
      <w:caps/>
      <w:sz w:val="22"/>
      <w:szCs w:val="20"/>
    </w:rPr>
  </w:style>
  <w:style w:type="character" w:styleId="FootnoteReference">
    <w:name w:val="footnote reference"/>
    <w:basedOn w:val="DefaultParagraphFont"/>
    <w:semiHidden/>
    <w:rsid w:val="00B878D5"/>
    <w:rPr>
      <w:vertAlign w:val="superscript"/>
    </w:rPr>
  </w:style>
  <w:style w:type="character" w:customStyle="1" w:styleId="apple-style-span">
    <w:name w:val="apple-style-span"/>
    <w:basedOn w:val="DefaultParagraphFont"/>
    <w:rsid w:val="00B878D5"/>
  </w:style>
  <w:style w:type="paragraph" w:styleId="NormalWeb">
    <w:name w:val="Normal (Web)"/>
    <w:basedOn w:val="Normal"/>
    <w:uiPriority w:val="99"/>
    <w:semiHidden/>
    <w:unhideWhenUsed/>
    <w:rsid w:val="00053272"/>
    <w:pPr>
      <w:spacing w:before="100" w:beforeAutospacing="1" w:after="100" w:afterAutospacing="1"/>
    </w:pPr>
    <w:rPr>
      <w:rFonts w:eastAsia="Times New Roman" w:cs="Times New Roman"/>
      <w:szCs w:val="24"/>
    </w:rPr>
  </w:style>
  <w:style w:type="paragraph" w:customStyle="1" w:styleId="CLAddress">
    <w:name w:val="CLAddress"/>
    <w:basedOn w:val="Normal"/>
    <w:semiHidden/>
    <w:rsid w:val="00586391"/>
    <w:pPr>
      <w:spacing w:line="240" w:lineRule="exact"/>
    </w:pPr>
    <w:rPr>
      <w:rFonts w:ascii="Univers Condensed" w:eastAsia="Times New Roman" w:hAnsi="Univers Condensed" w:cs="Times New Roman"/>
      <w:spacing w:val="10"/>
      <w:sz w:val="17"/>
      <w:szCs w:val="17"/>
    </w:rPr>
  </w:style>
  <w:style w:type="paragraph" w:styleId="ListParagraph">
    <w:name w:val="List Paragraph"/>
    <w:basedOn w:val="Normal"/>
    <w:uiPriority w:val="99"/>
    <w:qFormat/>
    <w:rsid w:val="00AE75FB"/>
    <w:pPr>
      <w:ind w:left="720"/>
      <w:contextualSpacing/>
    </w:pPr>
  </w:style>
  <w:style w:type="character" w:styleId="Hyperlink">
    <w:name w:val="Hyperlink"/>
    <w:basedOn w:val="DefaultParagraphFont"/>
    <w:uiPriority w:val="99"/>
    <w:semiHidden/>
    <w:unhideWhenUsed/>
    <w:rsid w:val="004B4435"/>
    <w:rPr>
      <w:color w:val="0000FF"/>
      <w:u w:val="single"/>
    </w:rPr>
  </w:style>
  <w:style w:type="paragraph" w:styleId="PlainText">
    <w:name w:val="Plain Text"/>
    <w:basedOn w:val="Normal"/>
    <w:link w:val="PlainTextChar"/>
    <w:uiPriority w:val="99"/>
    <w:unhideWhenUsed/>
    <w:rsid w:val="00742207"/>
    <w:rPr>
      <w:rFonts w:ascii="Calibri" w:hAnsi="Calibri"/>
      <w:sz w:val="22"/>
      <w:szCs w:val="21"/>
    </w:rPr>
  </w:style>
  <w:style w:type="character" w:customStyle="1" w:styleId="PlainTextChar">
    <w:name w:val="Plain Text Char"/>
    <w:basedOn w:val="DefaultParagraphFont"/>
    <w:link w:val="PlainText"/>
    <w:uiPriority w:val="99"/>
    <w:rsid w:val="00742207"/>
    <w:rPr>
      <w:rFonts w:ascii="Calibri" w:hAnsi="Calibri"/>
      <w:szCs w:val="21"/>
    </w:rPr>
  </w:style>
  <w:style w:type="paragraph" w:styleId="BalloonText">
    <w:name w:val="Balloon Text"/>
    <w:basedOn w:val="Normal"/>
    <w:link w:val="BalloonTextChar"/>
    <w:uiPriority w:val="99"/>
    <w:semiHidden/>
    <w:unhideWhenUsed/>
    <w:rsid w:val="000E2B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97348">
      <w:bodyDiv w:val="1"/>
      <w:marLeft w:val="0"/>
      <w:marRight w:val="0"/>
      <w:marTop w:val="0"/>
      <w:marBottom w:val="0"/>
      <w:divBdr>
        <w:top w:val="none" w:sz="0" w:space="0" w:color="auto"/>
        <w:left w:val="none" w:sz="0" w:space="0" w:color="auto"/>
        <w:bottom w:val="none" w:sz="0" w:space="0" w:color="auto"/>
        <w:right w:val="none" w:sz="0" w:space="0" w:color="auto"/>
      </w:divBdr>
    </w:div>
    <w:div w:id="208340941">
      <w:bodyDiv w:val="1"/>
      <w:marLeft w:val="0"/>
      <w:marRight w:val="0"/>
      <w:marTop w:val="0"/>
      <w:marBottom w:val="0"/>
      <w:divBdr>
        <w:top w:val="none" w:sz="0" w:space="0" w:color="auto"/>
        <w:left w:val="none" w:sz="0" w:space="0" w:color="auto"/>
        <w:bottom w:val="none" w:sz="0" w:space="0" w:color="auto"/>
        <w:right w:val="none" w:sz="0" w:space="0" w:color="auto"/>
      </w:divBdr>
    </w:div>
    <w:div w:id="367029037">
      <w:bodyDiv w:val="1"/>
      <w:marLeft w:val="0"/>
      <w:marRight w:val="0"/>
      <w:marTop w:val="0"/>
      <w:marBottom w:val="0"/>
      <w:divBdr>
        <w:top w:val="none" w:sz="0" w:space="0" w:color="auto"/>
        <w:left w:val="none" w:sz="0" w:space="0" w:color="auto"/>
        <w:bottom w:val="none" w:sz="0" w:space="0" w:color="auto"/>
        <w:right w:val="none" w:sz="0" w:space="0" w:color="auto"/>
      </w:divBdr>
    </w:div>
    <w:div w:id="402143367">
      <w:bodyDiv w:val="1"/>
      <w:marLeft w:val="0"/>
      <w:marRight w:val="0"/>
      <w:marTop w:val="0"/>
      <w:marBottom w:val="0"/>
      <w:divBdr>
        <w:top w:val="none" w:sz="0" w:space="0" w:color="auto"/>
        <w:left w:val="none" w:sz="0" w:space="0" w:color="auto"/>
        <w:bottom w:val="none" w:sz="0" w:space="0" w:color="auto"/>
        <w:right w:val="none" w:sz="0" w:space="0" w:color="auto"/>
      </w:divBdr>
    </w:div>
    <w:div w:id="554395486">
      <w:bodyDiv w:val="1"/>
      <w:marLeft w:val="0"/>
      <w:marRight w:val="0"/>
      <w:marTop w:val="0"/>
      <w:marBottom w:val="0"/>
      <w:divBdr>
        <w:top w:val="none" w:sz="0" w:space="0" w:color="auto"/>
        <w:left w:val="none" w:sz="0" w:space="0" w:color="auto"/>
        <w:bottom w:val="none" w:sz="0" w:space="0" w:color="auto"/>
        <w:right w:val="none" w:sz="0" w:space="0" w:color="auto"/>
      </w:divBdr>
    </w:div>
    <w:div w:id="595020405">
      <w:bodyDiv w:val="1"/>
      <w:marLeft w:val="0"/>
      <w:marRight w:val="0"/>
      <w:marTop w:val="0"/>
      <w:marBottom w:val="0"/>
      <w:divBdr>
        <w:top w:val="none" w:sz="0" w:space="0" w:color="auto"/>
        <w:left w:val="none" w:sz="0" w:space="0" w:color="auto"/>
        <w:bottom w:val="none" w:sz="0" w:space="0" w:color="auto"/>
        <w:right w:val="none" w:sz="0" w:space="0" w:color="auto"/>
      </w:divBdr>
    </w:div>
    <w:div w:id="676619809">
      <w:bodyDiv w:val="1"/>
      <w:marLeft w:val="0"/>
      <w:marRight w:val="0"/>
      <w:marTop w:val="0"/>
      <w:marBottom w:val="0"/>
      <w:divBdr>
        <w:top w:val="none" w:sz="0" w:space="0" w:color="auto"/>
        <w:left w:val="none" w:sz="0" w:space="0" w:color="auto"/>
        <w:bottom w:val="none" w:sz="0" w:space="0" w:color="auto"/>
        <w:right w:val="none" w:sz="0" w:space="0" w:color="auto"/>
      </w:divBdr>
    </w:div>
    <w:div w:id="785461806">
      <w:bodyDiv w:val="1"/>
      <w:marLeft w:val="0"/>
      <w:marRight w:val="0"/>
      <w:marTop w:val="0"/>
      <w:marBottom w:val="0"/>
      <w:divBdr>
        <w:top w:val="none" w:sz="0" w:space="0" w:color="auto"/>
        <w:left w:val="none" w:sz="0" w:space="0" w:color="auto"/>
        <w:bottom w:val="none" w:sz="0" w:space="0" w:color="auto"/>
        <w:right w:val="none" w:sz="0" w:space="0" w:color="auto"/>
      </w:divBdr>
    </w:div>
    <w:div w:id="1088428116">
      <w:bodyDiv w:val="1"/>
      <w:marLeft w:val="0"/>
      <w:marRight w:val="0"/>
      <w:marTop w:val="0"/>
      <w:marBottom w:val="0"/>
      <w:divBdr>
        <w:top w:val="none" w:sz="0" w:space="0" w:color="auto"/>
        <w:left w:val="none" w:sz="0" w:space="0" w:color="auto"/>
        <w:bottom w:val="none" w:sz="0" w:space="0" w:color="auto"/>
        <w:right w:val="none" w:sz="0" w:space="0" w:color="auto"/>
      </w:divBdr>
    </w:div>
    <w:div w:id="1275407408">
      <w:bodyDiv w:val="1"/>
      <w:marLeft w:val="0"/>
      <w:marRight w:val="0"/>
      <w:marTop w:val="0"/>
      <w:marBottom w:val="0"/>
      <w:divBdr>
        <w:top w:val="none" w:sz="0" w:space="0" w:color="auto"/>
        <w:left w:val="none" w:sz="0" w:space="0" w:color="auto"/>
        <w:bottom w:val="none" w:sz="0" w:space="0" w:color="auto"/>
        <w:right w:val="none" w:sz="0" w:space="0" w:color="auto"/>
      </w:divBdr>
    </w:div>
    <w:div w:id="1500466476">
      <w:bodyDiv w:val="1"/>
      <w:marLeft w:val="0"/>
      <w:marRight w:val="0"/>
      <w:marTop w:val="0"/>
      <w:marBottom w:val="0"/>
      <w:divBdr>
        <w:top w:val="none" w:sz="0" w:space="0" w:color="auto"/>
        <w:left w:val="none" w:sz="0" w:space="0" w:color="auto"/>
        <w:bottom w:val="none" w:sz="0" w:space="0" w:color="auto"/>
        <w:right w:val="none" w:sz="0" w:space="0" w:color="auto"/>
      </w:divBdr>
    </w:div>
    <w:div w:id="1890602506">
      <w:bodyDiv w:val="1"/>
      <w:marLeft w:val="0"/>
      <w:marRight w:val="0"/>
      <w:marTop w:val="0"/>
      <w:marBottom w:val="0"/>
      <w:divBdr>
        <w:top w:val="none" w:sz="0" w:space="0" w:color="auto"/>
        <w:left w:val="none" w:sz="0" w:space="0" w:color="auto"/>
        <w:bottom w:val="none" w:sz="0" w:space="0" w:color="auto"/>
        <w:right w:val="none" w:sz="0" w:space="0" w:color="auto"/>
      </w:divBdr>
    </w:div>
    <w:div w:id="196295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rotect-us.mimecast.com/s/0lHgCM8E08f5oMmrhkWyvq?domain=cl-law.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 A C T I V E ! 6 5 7 8 8 3 0 . 1 < / d o c u m e n t i d >  
     < s e n d e r i d > M D E L U C < / s e n d e r i d >  
     < s e n d e r e m a i l > M D E L U C A @ C L - L A W . C O M < / s e n d e r e m a i l >  
     < l a s t m o d i f i e d > 2 0 2 1 - 0 9 - 2 3 T 1 2 : 1 5 : 0 0 . 0 0 0 0 0 0 0 - 0 4 : 0 0 < / l a s t m o d i f i e d >  
     < d a t a b a s e > A C T I V E < / 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A8AA8-BCA9-4F60-93B5-DE99CBDC1FA3}">
  <ds:schemaRefs>
    <ds:schemaRef ds:uri="http://www.imanage.com/work/xmlschema"/>
  </ds:schemaRefs>
</ds:datastoreItem>
</file>

<file path=customXml/itemProps2.xml><?xml version="1.0" encoding="utf-8"?>
<ds:datastoreItem xmlns:ds="http://schemas.openxmlformats.org/officeDocument/2006/customXml" ds:itemID="{ECC607CE-1D2C-48DE-8495-13A13BB9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4875</Words>
  <Characters>25534</Characters>
  <Application>Microsoft Office Word</Application>
  <DocSecurity>0</DocSecurity>
  <Lines>398</Lines>
  <Paragraphs>66</Paragraphs>
  <ScaleCrop>false</ScaleCrop>
  <HeadingPairs>
    <vt:vector size="2" baseType="variant">
      <vt:variant>
        <vt:lpstr>Title</vt:lpstr>
      </vt:variant>
      <vt:variant>
        <vt:i4>1</vt:i4>
      </vt:variant>
    </vt:vector>
  </HeadingPairs>
  <TitlesOfParts>
    <vt:vector size="1" baseType="lpstr">
      <vt:lpstr/>
    </vt:vector>
  </TitlesOfParts>
  <Company>Cummings &amp; Lockwood LLC</Company>
  <LinksUpToDate>false</LinksUpToDate>
  <CharactersWithSpaces>30343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C&amp;L</dc:creator>
  <cp:lastModifiedBy>C&amp;L</cp:lastModifiedBy>
  <cp:revision>3</cp:revision>
  <cp:lastPrinted>2021-09-20T20:37:00Z</cp:lastPrinted>
  <dcterms:created xsi:type="dcterms:W3CDTF">2021-09-23T17:52:00Z</dcterms:created>
  <dcterms:modified xsi:type="dcterms:W3CDTF">2021-09-23T18:08:00Z</dcterms:modified>
</cp:coreProperties>
</file>